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FD" w:rsidRPr="00F128A3" w:rsidRDefault="00F128A3">
      <w:pPr>
        <w:rPr>
          <w:rFonts w:ascii="Arial" w:hAnsi="Arial" w:cs="Arial"/>
          <w:b/>
          <w:smallCaps/>
          <w:sz w:val="28"/>
          <w:szCs w:val="28"/>
        </w:rPr>
      </w:pPr>
      <w:r w:rsidRPr="00F128A3">
        <w:rPr>
          <w:rFonts w:ascii="Arial" w:hAnsi="Arial" w:cs="Arial"/>
          <w:b/>
          <w:smallCaps/>
          <w:sz w:val="28"/>
          <w:szCs w:val="28"/>
        </w:rPr>
        <w:t>Explanatory Paper on Draft Revisions to Public Health Components of the Australian Guidelines for Water Recycling: Managing Health and Environmental Health Risks (Phase 1)</w:t>
      </w:r>
    </w:p>
    <w:p w:rsidR="00001A73" w:rsidRDefault="00001A73"/>
    <w:p w:rsidR="00001A73" w:rsidRPr="00B95125" w:rsidRDefault="00CA7638" w:rsidP="002D5CB3">
      <w:pPr>
        <w:pStyle w:val="ListParagraph"/>
        <w:numPr>
          <w:ilvl w:val="0"/>
          <w:numId w:val="2"/>
        </w:numPr>
        <w:ind w:left="426" w:hanging="426"/>
        <w:rPr>
          <w:rFonts w:ascii="Arial" w:hAnsi="Arial" w:cs="Arial"/>
          <w:b/>
        </w:rPr>
      </w:pPr>
      <w:r w:rsidRPr="00B95125">
        <w:rPr>
          <w:rFonts w:ascii="Arial" w:hAnsi="Arial" w:cs="Arial"/>
          <w:b/>
        </w:rPr>
        <w:t>SCOPE OF CHANGES</w:t>
      </w:r>
    </w:p>
    <w:p w:rsidR="00001A73" w:rsidRPr="00B95125" w:rsidRDefault="00001A73">
      <w:pPr>
        <w:rPr>
          <w:rFonts w:ascii="Arial" w:hAnsi="Arial" w:cs="Arial"/>
        </w:rPr>
      </w:pPr>
    </w:p>
    <w:p w:rsidR="00124D1C" w:rsidRDefault="00973DA0">
      <w:pPr>
        <w:rPr>
          <w:rFonts w:ascii="Arial" w:hAnsi="Arial" w:cs="Arial"/>
        </w:rPr>
      </w:pPr>
      <w:r w:rsidRPr="00B95125">
        <w:rPr>
          <w:rFonts w:ascii="Arial" w:hAnsi="Arial" w:cs="Arial"/>
        </w:rPr>
        <w:t xml:space="preserve">The revision is restricted to updating </w:t>
      </w:r>
      <w:r w:rsidR="00491F23" w:rsidRPr="00B95125">
        <w:rPr>
          <w:rFonts w:ascii="Arial" w:hAnsi="Arial" w:cs="Arial"/>
        </w:rPr>
        <w:t>components relat</w:t>
      </w:r>
      <w:r w:rsidRPr="00B95125">
        <w:rPr>
          <w:rFonts w:ascii="Arial" w:hAnsi="Arial" w:cs="Arial"/>
        </w:rPr>
        <w:t xml:space="preserve">ing </w:t>
      </w:r>
      <w:r w:rsidR="00491F23" w:rsidRPr="00B95125">
        <w:rPr>
          <w:rFonts w:ascii="Arial" w:hAnsi="Arial" w:cs="Arial"/>
        </w:rPr>
        <w:t>to human health</w:t>
      </w:r>
      <w:r w:rsidRPr="00B95125">
        <w:rPr>
          <w:rFonts w:ascii="Arial" w:hAnsi="Arial" w:cs="Arial"/>
        </w:rPr>
        <w:t xml:space="preserve"> risks based on data and information published since the Phase 1 document was </w:t>
      </w:r>
      <w:r w:rsidR="0045443D">
        <w:rPr>
          <w:rFonts w:ascii="Arial" w:hAnsi="Arial" w:cs="Arial"/>
        </w:rPr>
        <w:t xml:space="preserve">finalised in </w:t>
      </w:r>
      <w:r w:rsidRPr="00B95125">
        <w:rPr>
          <w:rFonts w:ascii="Arial" w:hAnsi="Arial" w:cs="Arial"/>
        </w:rPr>
        <w:t>2006</w:t>
      </w:r>
      <w:r w:rsidR="00491F23" w:rsidRPr="00B95125">
        <w:rPr>
          <w:rFonts w:ascii="Arial" w:hAnsi="Arial" w:cs="Arial"/>
        </w:rPr>
        <w:t>.</w:t>
      </w:r>
      <w:r w:rsidR="00193C81" w:rsidRPr="00B95125">
        <w:rPr>
          <w:rFonts w:ascii="Arial" w:hAnsi="Arial" w:cs="Arial"/>
        </w:rPr>
        <w:t xml:space="preserve"> </w:t>
      </w:r>
      <w:r w:rsidR="00124D1C">
        <w:rPr>
          <w:rFonts w:ascii="Arial" w:hAnsi="Arial" w:cs="Arial"/>
        </w:rPr>
        <w:t>This includes a range of Australian data produced to support application of the guidelines.</w:t>
      </w:r>
    </w:p>
    <w:p w:rsidR="00124D1C" w:rsidRDefault="00124D1C">
      <w:pPr>
        <w:rPr>
          <w:rFonts w:ascii="Arial" w:hAnsi="Arial" w:cs="Arial"/>
        </w:rPr>
      </w:pPr>
    </w:p>
    <w:p w:rsidR="00491F23" w:rsidRDefault="00193C81">
      <w:pPr>
        <w:rPr>
          <w:rFonts w:ascii="Arial" w:hAnsi="Arial" w:cs="Arial"/>
        </w:rPr>
      </w:pPr>
      <w:r w:rsidRPr="00B95125">
        <w:rPr>
          <w:rFonts w:ascii="Arial" w:hAnsi="Arial" w:cs="Arial"/>
        </w:rPr>
        <w:t>The primary changes are to Ch</w:t>
      </w:r>
      <w:r w:rsidR="006E7470" w:rsidRPr="00B95125">
        <w:rPr>
          <w:rFonts w:ascii="Arial" w:hAnsi="Arial" w:cs="Arial"/>
        </w:rPr>
        <w:t>a</w:t>
      </w:r>
      <w:r w:rsidRPr="00B95125">
        <w:rPr>
          <w:rFonts w:ascii="Arial" w:hAnsi="Arial" w:cs="Arial"/>
        </w:rPr>
        <w:t xml:space="preserve">pter 3 (Managing </w:t>
      </w:r>
      <w:r w:rsidR="00EA554D">
        <w:rPr>
          <w:rFonts w:ascii="Arial" w:hAnsi="Arial" w:cs="Arial"/>
        </w:rPr>
        <w:t>H</w:t>
      </w:r>
      <w:r w:rsidRPr="00B95125">
        <w:rPr>
          <w:rFonts w:ascii="Arial" w:hAnsi="Arial" w:cs="Arial"/>
        </w:rPr>
        <w:t xml:space="preserve">ealth </w:t>
      </w:r>
      <w:r w:rsidR="00EA554D">
        <w:rPr>
          <w:rFonts w:ascii="Arial" w:hAnsi="Arial" w:cs="Arial"/>
        </w:rPr>
        <w:t>R</w:t>
      </w:r>
      <w:r w:rsidRPr="00B95125">
        <w:rPr>
          <w:rFonts w:ascii="Arial" w:hAnsi="Arial" w:cs="Arial"/>
        </w:rPr>
        <w:t xml:space="preserve">isks in </w:t>
      </w:r>
      <w:r w:rsidR="00EA554D">
        <w:rPr>
          <w:rFonts w:ascii="Arial" w:hAnsi="Arial" w:cs="Arial"/>
        </w:rPr>
        <w:t>R</w:t>
      </w:r>
      <w:r w:rsidRPr="00B95125">
        <w:rPr>
          <w:rFonts w:ascii="Arial" w:hAnsi="Arial" w:cs="Arial"/>
        </w:rPr>
        <w:t xml:space="preserve">ecycled </w:t>
      </w:r>
      <w:r w:rsidR="00EA554D">
        <w:rPr>
          <w:rFonts w:ascii="Arial" w:hAnsi="Arial" w:cs="Arial"/>
        </w:rPr>
        <w:t>W</w:t>
      </w:r>
      <w:r w:rsidRPr="00B95125">
        <w:rPr>
          <w:rFonts w:ascii="Arial" w:hAnsi="Arial" w:cs="Arial"/>
        </w:rPr>
        <w:t>ater)</w:t>
      </w:r>
      <w:r w:rsidR="00B95125">
        <w:rPr>
          <w:rFonts w:ascii="Arial" w:hAnsi="Arial" w:cs="Arial"/>
        </w:rPr>
        <w:t xml:space="preserve">, Chapter 5 </w:t>
      </w:r>
      <w:r w:rsidR="0045443D">
        <w:rPr>
          <w:rFonts w:ascii="Arial" w:hAnsi="Arial" w:cs="Arial"/>
        </w:rPr>
        <w:t xml:space="preserve">(Monitoring) </w:t>
      </w:r>
      <w:r w:rsidR="00B95125">
        <w:rPr>
          <w:rFonts w:ascii="Arial" w:hAnsi="Arial" w:cs="Arial"/>
        </w:rPr>
        <w:t xml:space="preserve">and Appendix 2 </w:t>
      </w:r>
      <w:r w:rsidR="0045443D">
        <w:rPr>
          <w:rFonts w:ascii="Arial" w:hAnsi="Arial" w:cs="Arial"/>
        </w:rPr>
        <w:t xml:space="preserve">(Calculating Microbial Targets) </w:t>
      </w:r>
      <w:r w:rsidR="00B95125">
        <w:rPr>
          <w:rFonts w:ascii="Arial" w:hAnsi="Arial" w:cs="Arial"/>
        </w:rPr>
        <w:t>with limited changes to Chapters 1</w:t>
      </w:r>
      <w:r w:rsidR="0045443D">
        <w:rPr>
          <w:rFonts w:ascii="Arial" w:hAnsi="Arial" w:cs="Arial"/>
        </w:rPr>
        <w:t xml:space="preserve"> (Introduction)</w:t>
      </w:r>
      <w:r w:rsidR="00B95125">
        <w:rPr>
          <w:rFonts w:ascii="Arial" w:hAnsi="Arial" w:cs="Arial"/>
        </w:rPr>
        <w:t xml:space="preserve"> and 2 </w:t>
      </w:r>
      <w:r w:rsidR="0045443D">
        <w:rPr>
          <w:rFonts w:ascii="Arial" w:hAnsi="Arial" w:cs="Arial"/>
        </w:rPr>
        <w:t xml:space="preserve">(Management Framework) </w:t>
      </w:r>
      <w:r w:rsidR="00B95125">
        <w:rPr>
          <w:rFonts w:ascii="Arial" w:hAnsi="Arial" w:cs="Arial"/>
        </w:rPr>
        <w:t>and Appendix 3</w:t>
      </w:r>
      <w:r w:rsidR="0045443D">
        <w:rPr>
          <w:rFonts w:ascii="Arial" w:hAnsi="Arial" w:cs="Arial"/>
        </w:rPr>
        <w:t xml:space="preserve"> (Preventive Measures)</w:t>
      </w:r>
      <w:r w:rsidRPr="00B95125">
        <w:rPr>
          <w:rFonts w:ascii="Arial" w:hAnsi="Arial" w:cs="Arial"/>
        </w:rPr>
        <w:t>.</w:t>
      </w:r>
      <w:r w:rsidR="00491F23" w:rsidRPr="00B95125">
        <w:rPr>
          <w:rFonts w:ascii="Arial" w:hAnsi="Arial" w:cs="Arial"/>
        </w:rPr>
        <w:t xml:space="preserve"> The environmental risk components </w:t>
      </w:r>
      <w:r w:rsidR="00124D1C">
        <w:rPr>
          <w:rFonts w:ascii="Arial" w:hAnsi="Arial" w:cs="Arial"/>
        </w:rPr>
        <w:t>(e.g. Chapter 4</w:t>
      </w:r>
      <w:r w:rsidR="0045443D">
        <w:rPr>
          <w:rFonts w:ascii="Arial" w:hAnsi="Arial" w:cs="Arial"/>
        </w:rPr>
        <w:t xml:space="preserve"> Managing Environmental Risks</w:t>
      </w:r>
      <w:r w:rsidR="00124D1C">
        <w:rPr>
          <w:rFonts w:ascii="Arial" w:hAnsi="Arial" w:cs="Arial"/>
        </w:rPr>
        <w:t xml:space="preserve">) </w:t>
      </w:r>
      <w:r w:rsidR="00491F23" w:rsidRPr="00B95125">
        <w:rPr>
          <w:rFonts w:ascii="Arial" w:hAnsi="Arial" w:cs="Arial"/>
        </w:rPr>
        <w:t>have not been reviewed</w:t>
      </w:r>
      <w:r w:rsidRPr="00B95125">
        <w:rPr>
          <w:rFonts w:ascii="Arial" w:hAnsi="Arial" w:cs="Arial"/>
        </w:rPr>
        <w:t>. The principles and the basic structure of the Guidelines are strongly supported and have not been changed.</w:t>
      </w:r>
    </w:p>
    <w:p w:rsidR="0045443D" w:rsidRDefault="0045443D">
      <w:pPr>
        <w:rPr>
          <w:rFonts w:ascii="Arial" w:hAnsi="Arial" w:cs="Arial"/>
        </w:rPr>
      </w:pPr>
    </w:p>
    <w:p w:rsidR="0045443D" w:rsidRPr="003C45C4" w:rsidRDefault="0045443D">
      <w:pPr>
        <w:rPr>
          <w:rFonts w:ascii="Arial" w:hAnsi="Arial" w:cs="Arial"/>
        </w:rPr>
      </w:pPr>
      <w:r>
        <w:rPr>
          <w:rFonts w:ascii="Arial" w:hAnsi="Arial" w:cs="Arial"/>
        </w:rPr>
        <w:t>Chapter 4 and 6 (Consultation and Communication); Appendices 1 (Case Studies), 4 (Environmental Risk Assessment), 5 (Environmental Reference Tables), 6 (Nutrient and Buffer Strips) and 7 (Communication Case Studies) have not been changed and are not included in the consultation draft. They will be retained in the final version.</w:t>
      </w:r>
      <w:r w:rsidR="003C45C4">
        <w:rPr>
          <w:rFonts w:ascii="Arial" w:hAnsi="Arial" w:cs="Arial"/>
        </w:rPr>
        <w:t xml:space="preserve"> These Chapters and Appendices can be downloaded from the existing guidelines at: </w:t>
      </w:r>
      <w:r>
        <w:rPr>
          <w:rFonts w:ascii="Arial" w:hAnsi="Arial" w:cs="Arial"/>
        </w:rPr>
        <w:t xml:space="preserve"> </w:t>
      </w:r>
      <w:hyperlink r:id="rId6" w:history="1">
        <w:r w:rsidR="003C45C4" w:rsidRPr="003C45C4">
          <w:rPr>
            <w:rStyle w:val="Hyperlink"/>
            <w:rFonts w:ascii="Arial" w:hAnsi="Arial" w:cs="Arial"/>
          </w:rPr>
          <w:t>https://www.waterquality.gov.au/guidelines/recycled-water</w:t>
        </w:r>
      </w:hyperlink>
    </w:p>
    <w:p w:rsidR="000A6AEB" w:rsidRPr="00B95125" w:rsidRDefault="000A6AEB" w:rsidP="000A6AEB">
      <w:pPr>
        <w:rPr>
          <w:rFonts w:ascii="Arial" w:hAnsi="Arial" w:cs="Arial"/>
        </w:rPr>
      </w:pPr>
    </w:p>
    <w:p w:rsidR="00001A73" w:rsidRPr="00B95125" w:rsidRDefault="00CA7638" w:rsidP="002D5CB3">
      <w:pPr>
        <w:pStyle w:val="ListParagraph"/>
        <w:numPr>
          <w:ilvl w:val="0"/>
          <w:numId w:val="2"/>
        </w:numPr>
        <w:ind w:left="426" w:hanging="426"/>
        <w:rPr>
          <w:rFonts w:ascii="Arial" w:hAnsi="Arial" w:cs="Arial"/>
          <w:b/>
        </w:rPr>
      </w:pPr>
      <w:r w:rsidRPr="00B95125">
        <w:rPr>
          <w:rFonts w:ascii="Arial" w:hAnsi="Arial" w:cs="Arial"/>
          <w:b/>
        </w:rPr>
        <w:t>DRIVERS OF REVISION</w:t>
      </w:r>
    </w:p>
    <w:p w:rsidR="00001A73" w:rsidRPr="00B95125" w:rsidRDefault="00001A73" w:rsidP="000A6AEB">
      <w:pPr>
        <w:rPr>
          <w:rFonts w:ascii="Arial" w:hAnsi="Arial" w:cs="Arial"/>
        </w:rPr>
      </w:pPr>
    </w:p>
    <w:p w:rsidR="00001A73" w:rsidRPr="00B95125" w:rsidRDefault="00001A73" w:rsidP="0057093D">
      <w:pPr>
        <w:spacing w:after="120"/>
        <w:rPr>
          <w:rFonts w:ascii="Arial" w:hAnsi="Arial" w:cs="Arial"/>
        </w:rPr>
      </w:pPr>
      <w:r w:rsidRPr="00B95125">
        <w:rPr>
          <w:rFonts w:ascii="Arial" w:hAnsi="Arial" w:cs="Arial"/>
        </w:rPr>
        <w:t>Regulators of recycled water scheme</w:t>
      </w:r>
      <w:r w:rsidR="00124D1C">
        <w:rPr>
          <w:rFonts w:ascii="Arial" w:hAnsi="Arial" w:cs="Arial"/>
        </w:rPr>
        <w:t>s</w:t>
      </w:r>
      <w:r w:rsidRPr="00B95125">
        <w:rPr>
          <w:rFonts w:ascii="Arial" w:hAnsi="Arial" w:cs="Arial"/>
        </w:rPr>
        <w:t xml:space="preserve"> including members of the National Recycled Water Regulators Forum have raised t</w:t>
      </w:r>
      <w:r w:rsidR="00685F88">
        <w:rPr>
          <w:rFonts w:ascii="Arial" w:hAnsi="Arial" w:cs="Arial"/>
        </w:rPr>
        <w:t>he</w:t>
      </w:r>
      <w:r w:rsidRPr="00B95125">
        <w:rPr>
          <w:rFonts w:ascii="Arial" w:hAnsi="Arial" w:cs="Arial"/>
        </w:rPr>
        <w:t xml:space="preserve"> need to update the guidelines for a number of years. The need for an update was prompted by a number of factors including:</w:t>
      </w:r>
    </w:p>
    <w:p w:rsidR="00B472D5" w:rsidRDefault="00461FD9" w:rsidP="000A5053">
      <w:pPr>
        <w:pStyle w:val="ListParagraph"/>
        <w:numPr>
          <w:ilvl w:val="0"/>
          <w:numId w:val="1"/>
        </w:numPr>
        <w:spacing w:after="120"/>
        <w:ind w:left="425" w:hanging="425"/>
        <w:contextualSpacing w:val="0"/>
        <w:rPr>
          <w:rFonts w:ascii="Arial" w:hAnsi="Arial" w:cs="Arial"/>
        </w:rPr>
      </w:pPr>
      <w:r>
        <w:rPr>
          <w:rFonts w:ascii="Arial" w:hAnsi="Arial" w:cs="Arial"/>
        </w:rPr>
        <w:t>e</w:t>
      </w:r>
      <w:r w:rsidR="00B472D5">
        <w:rPr>
          <w:rFonts w:ascii="Arial" w:hAnsi="Arial" w:cs="Arial"/>
        </w:rPr>
        <w:t xml:space="preserve">nsuring consistency with the </w:t>
      </w:r>
      <w:r w:rsidR="00B472D5" w:rsidRPr="001F2059">
        <w:rPr>
          <w:rFonts w:ascii="Arial" w:hAnsi="Arial" w:cs="Arial"/>
          <w:i/>
        </w:rPr>
        <w:t>Australian Drinking Water Guidelines</w:t>
      </w:r>
      <w:r w:rsidR="00B472D5">
        <w:rPr>
          <w:rFonts w:ascii="Arial" w:hAnsi="Arial" w:cs="Arial"/>
        </w:rPr>
        <w:t xml:space="preserve"> (ADWG)</w:t>
      </w:r>
      <w:r w:rsidR="00340C9F">
        <w:rPr>
          <w:rFonts w:ascii="Arial" w:hAnsi="Arial" w:cs="Arial"/>
        </w:rPr>
        <w:t>,</w:t>
      </w:r>
      <w:r w:rsidR="00B472D5">
        <w:rPr>
          <w:rFonts w:ascii="Arial" w:hAnsi="Arial" w:cs="Arial"/>
        </w:rPr>
        <w:t xml:space="preserve"> </w:t>
      </w:r>
      <w:r w:rsidR="001F2059">
        <w:rPr>
          <w:rFonts w:ascii="Arial" w:hAnsi="Arial" w:cs="Arial"/>
        </w:rPr>
        <w:t xml:space="preserve">the </w:t>
      </w:r>
      <w:r w:rsidR="00B472D5" w:rsidRPr="00B95125">
        <w:rPr>
          <w:rFonts w:ascii="Arial" w:hAnsi="Arial" w:cs="Arial"/>
        </w:rPr>
        <w:t>W</w:t>
      </w:r>
      <w:r w:rsidR="001F2059">
        <w:rPr>
          <w:rFonts w:ascii="Arial" w:hAnsi="Arial" w:cs="Arial"/>
        </w:rPr>
        <w:t xml:space="preserve">orld Health Organization </w:t>
      </w:r>
      <w:r w:rsidR="00416DD2">
        <w:rPr>
          <w:rFonts w:ascii="Arial" w:hAnsi="Arial" w:cs="Arial"/>
        </w:rPr>
        <w:t xml:space="preserve">(WHO) </w:t>
      </w:r>
      <w:r w:rsidR="00B472D5" w:rsidRPr="00B95125">
        <w:rPr>
          <w:rFonts w:ascii="Arial" w:hAnsi="Arial" w:cs="Arial"/>
          <w:i/>
        </w:rPr>
        <w:t xml:space="preserve">Guidelines for Drinking-water Quality </w:t>
      </w:r>
      <w:r w:rsidR="00B472D5" w:rsidRPr="00B95125">
        <w:rPr>
          <w:rFonts w:ascii="Arial" w:hAnsi="Arial" w:cs="Arial"/>
        </w:rPr>
        <w:t xml:space="preserve">(GDWQ) </w:t>
      </w:r>
      <w:r w:rsidR="00340C9F">
        <w:rPr>
          <w:rFonts w:ascii="Arial" w:hAnsi="Arial" w:cs="Arial"/>
        </w:rPr>
        <w:t xml:space="preserve">and the </w:t>
      </w:r>
      <w:r w:rsidR="00340C9F" w:rsidRPr="00B95125">
        <w:rPr>
          <w:rFonts w:ascii="Arial" w:hAnsi="Arial" w:cs="Arial"/>
        </w:rPr>
        <w:t xml:space="preserve">WHO </w:t>
      </w:r>
      <w:r w:rsidR="00340C9F">
        <w:rPr>
          <w:rFonts w:ascii="Arial" w:hAnsi="Arial" w:cs="Arial"/>
        </w:rPr>
        <w:t xml:space="preserve">publication </w:t>
      </w:r>
      <w:r w:rsidR="00340C9F" w:rsidRPr="00B95125">
        <w:rPr>
          <w:rFonts w:ascii="Arial" w:hAnsi="Arial" w:cs="Arial"/>
          <w:i/>
        </w:rPr>
        <w:t>Potable Reuse: Guidance for Production of Safe Drinking-water</w:t>
      </w:r>
      <w:r w:rsidR="00340C9F" w:rsidRPr="00B95125">
        <w:rPr>
          <w:rFonts w:ascii="Arial" w:hAnsi="Arial" w:cs="Arial"/>
        </w:rPr>
        <w:t xml:space="preserve"> </w:t>
      </w:r>
      <w:r w:rsidR="00221319">
        <w:rPr>
          <w:rFonts w:ascii="Arial" w:hAnsi="Arial" w:cs="Arial"/>
        </w:rPr>
        <w:t xml:space="preserve">regarding </w:t>
      </w:r>
      <w:r w:rsidR="001F2059">
        <w:rPr>
          <w:rFonts w:ascii="Arial" w:hAnsi="Arial" w:cs="Arial"/>
        </w:rPr>
        <w:t>data used to calculate log reduction targets</w:t>
      </w:r>
      <w:r w:rsidR="00B472D5" w:rsidRPr="00B95125">
        <w:rPr>
          <w:rFonts w:ascii="Arial" w:hAnsi="Arial" w:cs="Arial"/>
        </w:rPr>
        <w:t>.</w:t>
      </w:r>
      <w:r w:rsidR="00525A83">
        <w:rPr>
          <w:rFonts w:ascii="Arial" w:hAnsi="Arial" w:cs="Arial"/>
        </w:rPr>
        <w:t xml:space="preserve"> </w:t>
      </w:r>
      <w:r w:rsidR="001F2059">
        <w:rPr>
          <w:rFonts w:ascii="Arial" w:hAnsi="Arial" w:cs="Arial"/>
        </w:rPr>
        <w:t xml:space="preserve"> </w:t>
      </w:r>
      <w:r w:rsidR="00B472D5">
        <w:rPr>
          <w:rFonts w:ascii="Arial" w:hAnsi="Arial" w:cs="Arial"/>
        </w:rPr>
        <w:t xml:space="preserve">  </w:t>
      </w:r>
    </w:p>
    <w:p w:rsidR="00E7327F" w:rsidRDefault="00416DD2" w:rsidP="00416DD2">
      <w:pPr>
        <w:pStyle w:val="ListParagraph"/>
        <w:numPr>
          <w:ilvl w:val="1"/>
          <w:numId w:val="1"/>
        </w:numPr>
        <w:spacing w:after="120"/>
        <w:ind w:left="709" w:hanging="283"/>
        <w:contextualSpacing w:val="0"/>
        <w:rPr>
          <w:rFonts w:ascii="Arial" w:hAnsi="Arial" w:cs="Arial"/>
        </w:rPr>
      </w:pPr>
      <w:r>
        <w:rPr>
          <w:rFonts w:ascii="Arial" w:hAnsi="Arial" w:cs="Arial"/>
        </w:rPr>
        <w:t>t</w:t>
      </w:r>
      <w:r w:rsidR="00525A83">
        <w:rPr>
          <w:rFonts w:ascii="Arial" w:hAnsi="Arial" w:cs="Arial"/>
        </w:rPr>
        <w:t xml:space="preserve">he draft text on </w:t>
      </w:r>
      <w:r w:rsidR="00221319">
        <w:rPr>
          <w:rFonts w:ascii="Arial" w:hAnsi="Arial" w:cs="Arial"/>
        </w:rPr>
        <w:t xml:space="preserve">health based targets </w:t>
      </w:r>
      <w:r w:rsidR="00525A83">
        <w:rPr>
          <w:rFonts w:ascii="Arial" w:hAnsi="Arial" w:cs="Arial"/>
        </w:rPr>
        <w:t>proposed for inclusion in the ADWG use</w:t>
      </w:r>
      <w:r w:rsidR="001C1017">
        <w:rPr>
          <w:rFonts w:ascii="Arial" w:hAnsi="Arial" w:cs="Arial"/>
        </w:rPr>
        <w:t xml:space="preserve">s </w:t>
      </w:r>
      <w:r w:rsidR="00E7327F">
        <w:rPr>
          <w:rFonts w:ascii="Arial" w:hAnsi="Arial" w:cs="Arial"/>
        </w:rPr>
        <w:t>norovirus rather than rotavirus as a</w:t>
      </w:r>
      <w:r w:rsidR="00E7327F" w:rsidRPr="00B95125">
        <w:rPr>
          <w:rFonts w:ascii="Arial" w:hAnsi="Arial" w:cs="Arial"/>
        </w:rPr>
        <w:t xml:space="preserve"> reference pathogen for enteric viruses</w:t>
      </w:r>
      <w:r w:rsidR="00221319">
        <w:rPr>
          <w:rFonts w:ascii="Arial" w:hAnsi="Arial" w:cs="Arial"/>
        </w:rPr>
        <w:t>. This is</w:t>
      </w:r>
      <w:r w:rsidR="00E7327F">
        <w:rPr>
          <w:rFonts w:ascii="Arial" w:hAnsi="Arial" w:cs="Arial"/>
        </w:rPr>
        <w:t xml:space="preserve"> </w:t>
      </w:r>
      <w:r w:rsidR="00E7327F" w:rsidRPr="00B95125">
        <w:rPr>
          <w:rFonts w:ascii="Arial" w:hAnsi="Arial" w:cs="Arial"/>
        </w:rPr>
        <w:t>due to uncertainties about rotavirus disease burdens following the introduction of the rotavirus vaccine</w:t>
      </w:r>
      <w:r w:rsidR="00E7327F">
        <w:rPr>
          <w:rFonts w:ascii="Arial" w:hAnsi="Arial" w:cs="Arial"/>
        </w:rPr>
        <w:t xml:space="preserve">. The draft text uses an updated 2009 dose response for </w:t>
      </w:r>
      <w:r w:rsidR="00E7327F" w:rsidRPr="00525A83">
        <w:rPr>
          <w:rFonts w:ascii="Arial" w:hAnsi="Arial" w:cs="Arial"/>
          <w:i/>
        </w:rPr>
        <w:t>Cryptosporidium</w:t>
      </w:r>
      <w:r w:rsidR="00E7327F">
        <w:rPr>
          <w:rFonts w:ascii="Arial" w:hAnsi="Arial" w:cs="Arial"/>
        </w:rPr>
        <w:t xml:space="preserve"> and </w:t>
      </w:r>
      <w:r w:rsidR="00E7327F" w:rsidRPr="00B95125">
        <w:rPr>
          <w:rFonts w:ascii="Arial" w:hAnsi="Arial" w:cs="Arial"/>
        </w:rPr>
        <w:t>update</w:t>
      </w:r>
      <w:r w:rsidR="00E7327F">
        <w:rPr>
          <w:rFonts w:ascii="Arial" w:hAnsi="Arial" w:cs="Arial"/>
        </w:rPr>
        <w:t>d</w:t>
      </w:r>
      <w:r w:rsidR="00E7327F" w:rsidRPr="00B95125">
        <w:rPr>
          <w:rFonts w:ascii="Arial" w:hAnsi="Arial" w:cs="Arial"/>
        </w:rPr>
        <w:t xml:space="preserve"> disease burdens from illnesses caused by enteric pathogens</w:t>
      </w:r>
      <w:r w:rsidR="00282EEB">
        <w:rPr>
          <w:rFonts w:ascii="Arial" w:hAnsi="Arial" w:cs="Arial"/>
        </w:rPr>
        <w:t xml:space="preserve">. The updated disease burdens </w:t>
      </w:r>
      <w:r w:rsidR="00124D1C">
        <w:rPr>
          <w:rFonts w:ascii="Arial" w:hAnsi="Arial" w:cs="Arial"/>
        </w:rPr>
        <w:t xml:space="preserve">were derived specifically </w:t>
      </w:r>
      <w:r w:rsidR="00124D1C" w:rsidRPr="00B95125">
        <w:rPr>
          <w:rFonts w:ascii="Arial" w:hAnsi="Arial" w:cs="Arial"/>
        </w:rPr>
        <w:t>to support the introduction of health-based targets into the ADWG</w:t>
      </w:r>
      <w:r w:rsidR="00124D1C">
        <w:rPr>
          <w:rFonts w:ascii="Arial" w:hAnsi="Arial" w:cs="Arial"/>
        </w:rPr>
        <w:t xml:space="preserve"> and </w:t>
      </w:r>
      <w:r w:rsidR="00282EEB">
        <w:rPr>
          <w:rFonts w:ascii="Arial" w:hAnsi="Arial" w:cs="Arial"/>
        </w:rPr>
        <w:t xml:space="preserve">incorporate </w:t>
      </w:r>
      <w:r w:rsidR="00124D1C">
        <w:rPr>
          <w:rFonts w:ascii="Arial" w:hAnsi="Arial" w:cs="Arial"/>
        </w:rPr>
        <w:t xml:space="preserve">a </w:t>
      </w:r>
      <w:r w:rsidR="00E7327F" w:rsidRPr="00B95125">
        <w:rPr>
          <w:rFonts w:ascii="Arial" w:hAnsi="Arial" w:cs="Arial"/>
        </w:rPr>
        <w:t xml:space="preserve">greater </w:t>
      </w:r>
      <w:r w:rsidR="00124D1C">
        <w:rPr>
          <w:rFonts w:ascii="Arial" w:hAnsi="Arial" w:cs="Arial"/>
        </w:rPr>
        <w:t xml:space="preserve">focus on </w:t>
      </w:r>
      <w:r w:rsidR="00E7327F" w:rsidRPr="00B95125">
        <w:rPr>
          <w:rFonts w:ascii="Arial" w:hAnsi="Arial" w:cs="Arial"/>
        </w:rPr>
        <w:t>use of Australian data</w:t>
      </w:r>
      <w:r w:rsidR="00124D1C">
        <w:rPr>
          <w:rFonts w:ascii="Arial" w:hAnsi="Arial" w:cs="Arial"/>
        </w:rPr>
        <w:t xml:space="preserve"> (</w:t>
      </w:r>
      <w:r w:rsidR="00282EEB">
        <w:rPr>
          <w:rFonts w:ascii="Arial" w:hAnsi="Arial" w:cs="Arial"/>
        </w:rPr>
        <w:t>G</w:t>
      </w:r>
      <w:r w:rsidR="00282EEB" w:rsidRPr="00B95125">
        <w:rPr>
          <w:rFonts w:ascii="Arial" w:hAnsi="Arial" w:cs="Arial"/>
        </w:rPr>
        <w:t>ibney et al 2014).</w:t>
      </w:r>
    </w:p>
    <w:p w:rsidR="00416DD2" w:rsidRDefault="00416DD2" w:rsidP="00416DD2">
      <w:pPr>
        <w:pStyle w:val="ListParagraph"/>
        <w:numPr>
          <w:ilvl w:val="1"/>
          <w:numId w:val="1"/>
        </w:numPr>
        <w:spacing w:after="120"/>
        <w:ind w:left="709" w:hanging="283"/>
        <w:contextualSpacing w:val="0"/>
        <w:rPr>
          <w:rFonts w:ascii="Arial" w:hAnsi="Arial" w:cs="Arial"/>
        </w:rPr>
      </w:pPr>
      <w:r>
        <w:rPr>
          <w:rFonts w:ascii="Arial" w:hAnsi="Arial" w:cs="Arial"/>
        </w:rPr>
        <w:t>t</w:t>
      </w:r>
      <w:r w:rsidR="006E7470" w:rsidRPr="00B95125">
        <w:rPr>
          <w:rFonts w:ascii="Arial" w:hAnsi="Arial" w:cs="Arial"/>
        </w:rPr>
        <w:t xml:space="preserve">he WHO text on </w:t>
      </w:r>
      <w:r w:rsidR="006E7470" w:rsidRPr="00B95125">
        <w:rPr>
          <w:rFonts w:ascii="Arial" w:hAnsi="Arial" w:cs="Arial"/>
          <w:i/>
        </w:rPr>
        <w:t>Potable Reuse: Guidance for Production of Safe Drinking-water</w:t>
      </w:r>
      <w:r w:rsidR="006E7470" w:rsidRPr="00B95125">
        <w:rPr>
          <w:rFonts w:ascii="Arial" w:hAnsi="Arial" w:cs="Arial"/>
        </w:rPr>
        <w:t xml:space="preserve"> </w:t>
      </w:r>
      <w:r w:rsidR="00124D1C">
        <w:rPr>
          <w:rFonts w:ascii="Arial" w:hAnsi="Arial" w:cs="Arial"/>
        </w:rPr>
        <w:t xml:space="preserve">also </w:t>
      </w:r>
      <w:r w:rsidR="006E7470" w:rsidRPr="00B95125">
        <w:rPr>
          <w:rFonts w:ascii="Arial" w:hAnsi="Arial" w:cs="Arial"/>
        </w:rPr>
        <w:t xml:space="preserve">uses norovirus as </w:t>
      </w:r>
      <w:r w:rsidR="00461FD9">
        <w:rPr>
          <w:rFonts w:ascii="Arial" w:hAnsi="Arial" w:cs="Arial"/>
        </w:rPr>
        <w:t>a</w:t>
      </w:r>
      <w:r w:rsidR="006E7470" w:rsidRPr="00B95125">
        <w:rPr>
          <w:rFonts w:ascii="Arial" w:hAnsi="Arial" w:cs="Arial"/>
        </w:rPr>
        <w:t xml:space="preserve"> reference pathogen</w:t>
      </w:r>
      <w:r w:rsidR="00461FD9">
        <w:rPr>
          <w:rFonts w:ascii="Arial" w:hAnsi="Arial" w:cs="Arial"/>
        </w:rPr>
        <w:t xml:space="preserve">, the updated dose response for </w:t>
      </w:r>
      <w:r w:rsidR="00461FD9" w:rsidRPr="00525A83">
        <w:rPr>
          <w:rFonts w:ascii="Arial" w:hAnsi="Arial" w:cs="Arial"/>
          <w:i/>
        </w:rPr>
        <w:t>Cryptosporidium</w:t>
      </w:r>
      <w:r w:rsidR="00461FD9">
        <w:rPr>
          <w:rFonts w:ascii="Arial" w:hAnsi="Arial" w:cs="Arial"/>
        </w:rPr>
        <w:t xml:space="preserve"> and </w:t>
      </w:r>
      <w:r w:rsidR="00282EEB">
        <w:rPr>
          <w:rFonts w:ascii="Arial" w:hAnsi="Arial" w:cs="Arial"/>
        </w:rPr>
        <w:t xml:space="preserve">the </w:t>
      </w:r>
      <w:r w:rsidR="00461FD9" w:rsidRPr="00B95125">
        <w:rPr>
          <w:rFonts w:ascii="Arial" w:hAnsi="Arial" w:cs="Arial"/>
        </w:rPr>
        <w:t>update</w:t>
      </w:r>
      <w:r w:rsidR="00461FD9">
        <w:rPr>
          <w:rFonts w:ascii="Arial" w:hAnsi="Arial" w:cs="Arial"/>
        </w:rPr>
        <w:t>d</w:t>
      </w:r>
      <w:r w:rsidR="00461FD9" w:rsidRPr="00B95125">
        <w:rPr>
          <w:rFonts w:ascii="Arial" w:hAnsi="Arial" w:cs="Arial"/>
        </w:rPr>
        <w:t xml:space="preserve"> disease burdens</w:t>
      </w:r>
      <w:r w:rsidR="00282EEB">
        <w:rPr>
          <w:rFonts w:ascii="Arial" w:hAnsi="Arial" w:cs="Arial"/>
        </w:rPr>
        <w:t xml:space="preserve"> developed by G</w:t>
      </w:r>
      <w:r w:rsidR="00282EEB" w:rsidRPr="00B95125">
        <w:rPr>
          <w:rFonts w:ascii="Arial" w:hAnsi="Arial" w:cs="Arial"/>
        </w:rPr>
        <w:t>ibney et al 2014</w:t>
      </w:r>
      <w:r w:rsidR="00461FD9">
        <w:rPr>
          <w:rFonts w:ascii="Arial" w:hAnsi="Arial" w:cs="Arial"/>
        </w:rPr>
        <w:t xml:space="preserve">. </w:t>
      </w:r>
    </w:p>
    <w:p w:rsidR="00461FD9" w:rsidRDefault="00416DD2" w:rsidP="00416DD2">
      <w:pPr>
        <w:pStyle w:val="ListParagraph"/>
        <w:numPr>
          <w:ilvl w:val="1"/>
          <w:numId w:val="1"/>
        </w:numPr>
        <w:spacing w:after="120"/>
        <w:ind w:left="709" w:hanging="283"/>
        <w:contextualSpacing w:val="0"/>
        <w:rPr>
          <w:rFonts w:ascii="Arial" w:hAnsi="Arial" w:cs="Arial"/>
        </w:rPr>
      </w:pPr>
      <w:r>
        <w:rPr>
          <w:rFonts w:ascii="Arial" w:hAnsi="Arial" w:cs="Arial"/>
        </w:rPr>
        <w:t>t</w:t>
      </w:r>
      <w:r w:rsidR="00461FD9">
        <w:rPr>
          <w:rFonts w:ascii="Arial" w:hAnsi="Arial" w:cs="Arial"/>
        </w:rPr>
        <w:t xml:space="preserve">he updated dose response for </w:t>
      </w:r>
      <w:r w:rsidR="00461FD9" w:rsidRPr="00525A83">
        <w:rPr>
          <w:rFonts w:ascii="Arial" w:hAnsi="Arial" w:cs="Arial"/>
          <w:i/>
        </w:rPr>
        <w:t>Cryptosporidium</w:t>
      </w:r>
      <w:r w:rsidR="00461FD9">
        <w:rPr>
          <w:rFonts w:ascii="Arial" w:hAnsi="Arial" w:cs="Arial"/>
        </w:rPr>
        <w:t xml:space="preserve"> is included in the GDWQ and the other changes are expected to be considered as part of the review process leading to the </w:t>
      </w:r>
      <w:r w:rsidR="00124D1C">
        <w:rPr>
          <w:rFonts w:ascii="Arial" w:hAnsi="Arial" w:cs="Arial"/>
        </w:rPr>
        <w:t>5</w:t>
      </w:r>
      <w:r w:rsidR="00124D1C" w:rsidRPr="00124D1C">
        <w:rPr>
          <w:rFonts w:ascii="Arial" w:hAnsi="Arial" w:cs="Arial"/>
          <w:vertAlign w:val="superscript"/>
        </w:rPr>
        <w:t>th</w:t>
      </w:r>
      <w:r w:rsidR="00124D1C">
        <w:rPr>
          <w:rFonts w:ascii="Arial" w:hAnsi="Arial" w:cs="Arial"/>
        </w:rPr>
        <w:t xml:space="preserve"> </w:t>
      </w:r>
      <w:r w:rsidR="00461FD9">
        <w:rPr>
          <w:rFonts w:ascii="Arial" w:hAnsi="Arial" w:cs="Arial"/>
        </w:rPr>
        <w:t>edition of the GDWQ.</w:t>
      </w:r>
      <w:r w:rsidRPr="00416DD2">
        <w:rPr>
          <w:rFonts w:ascii="Arial" w:hAnsi="Arial" w:cs="Arial"/>
        </w:rPr>
        <w:t xml:space="preserve"> </w:t>
      </w:r>
    </w:p>
    <w:p w:rsidR="00CE4AA6" w:rsidRPr="00B95125" w:rsidRDefault="00CE4AA6" w:rsidP="000A5053">
      <w:pPr>
        <w:pStyle w:val="ListParagraph"/>
        <w:numPr>
          <w:ilvl w:val="0"/>
          <w:numId w:val="1"/>
        </w:numPr>
        <w:spacing w:after="120"/>
        <w:ind w:left="425" w:hanging="425"/>
        <w:contextualSpacing w:val="0"/>
        <w:rPr>
          <w:rFonts w:ascii="Arial" w:hAnsi="Arial" w:cs="Arial"/>
        </w:rPr>
      </w:pPr>
      <w:r w:rsidRPr="00B95125">
        <w:rPr>
          <w:rFonts w:ascii="Arial" w:hAnsi="Arial" w:cs="Arial"/>
        </w:rPr>
        <w:t xml:space="preserve">Availability of new </w:t>
      </w:r>
      <w:r w:rsidR="00E871CE" w:rsidRPr="00B95125">
        <w:rPr>
          <w:rFonts w:ascii="Arial" w:hAnsi="Arial" w:cs="Arial"/>
        </w:rPr>
        <w:t xml:space="preserve">Australian </w:t>
      </w:r>
      <w:r w:rsidRPr="00B95125">
        <w:rPr>
          <w:rFonts w:ascii="Arial" w:hAnsi="Arial" w:cs="Arial"/>
        </w:rPr>
        <w:t xml:space="preserve">data for informing </w:t>
      </w:r>
      <w:r w:rsidR="007208FA" w:rsidRPr="00B95125">
        <w:rPr>
          <w:rFonts w:ascii="Arial" w:hAnsi="Arial" w:cs="Arial"/>
        </w:rPr>
        <w:t xml:space="preserve">determination of </w:t>
      </w:r>
      <w:r w:rsidRPr="00B95125">
        <w:rPr>
          <w:rFonts w:ascii="Arial" w:hAnsi="Arial" w:cs="Arial"/>
        </w:rPr>
        <w:t>default pathogen concentrations in sewage</w:t>
      </w:r>
      <w:r w:rsidR="006E7470" w:rsidRPr="00B95125">
        <w:rPr>
          <w:rFonts w:ascii="Arial" w:hAnsi="Arial" w:cs="Arial"/>
        </w:rPr>
        <w:t xml:space="preserve"> (</w:t>
      </w:r>
      <w:r w:rsidR="002E1803" w:rsidRPr="00B95125">
        <w:rPr>
          <w:rFonts w:ascii="Arial" w:hAnsi="Arial" w:cs="Arial"/>
        </w:rPr>
        <w:t xml:space="preserve">Deere </w:t>
      </w:r>
      <w:r w:rsidR="002E1803">
        <w:rPr>
          <w:rFonts w:ascii="Arial" w:hAnsi="Arial" w:cs="Arial"/>
        </w:rPr>
        <w:t xml:space="preserve">and </w:t>
      </w:r>
      <w:r w:rsidR="00685F88" w:rsidRPr="00B95125">
        <w:rPr>
          <w:rFonts w:ascii="Arial" w:hAnsi="Arial" w:cs="Arial"/>
        </w:rPr>
        <w:t>Khan 2016</w:t>
      </w:r>
      <w:r w:rsidR="006E7470" w:rsidRPr="00B95125">
        <w:rPr>
          <w:rFonts w:ascii="Arial" w:hAnsi="Arial" w:cs="Arial"/>
        </w:rPr>
        <w:t>; King et al 2017)</w:t>
      </w:r>
      <w:r w:rsidRPr="00B95125">
        <w:rPr>
          <w:rFonts w:ascii="Arial" w:hAnsi="Arial" w:cs="Arial"/>
        </w:rPr>
        <w:t>.</w:t>
      </w:r>
    </w:p>
    <w:p w:rsidR="007208FA" w:rsidRPr="00B95125" w:rsidRDefault="007208FA" w:rsidP="00BF09FD">
      <w:pPr>
        <w:pStyle w:val="ListParagraph"/>
        <w:numPr>
          <w:ilvl w:val="0"/>
          <w:numId w:val="1"/>
        </w:numPr>
        <w:spacing w:after="120"/>
        <w:ind w:left="425" w:hanging="425"/>
        <w:contextualSpacing w:val="0"/>
        <w:rPr>
          <w:rFonts w:ascii="Arial" w:hAnsi="Arial" w:cs="Arial"/>
        </w:rPr>
      </w:pPr>
      <w:r w:rsidRPr="00B95125">
        <w:rPr>
          <w:rFonts w:ascii="Arial" w:hAnsi="Arial" w:cs="Arial"/>
        </w:rPr>
        <w:t>A more developed and sophisticated understanding of log reductions achievable by treatment technologies and validation of these reductions. This is based on work led initially by the Victorian Department of Health and Human Services and then advanced by the Nat</w:t>
      </w:r>
      <w:r w:rsidR="006F7896" w:rsidRPr="00B95125">
        <w:rPr>
          <w:rFonts w:ascii="Arial" w:hAnsi="Arial" w:cs="Arial"/>
        </w:rPr>
        <w:t>V</w:t>
      </w:r>
      <w:r w:rsidRPr="00B95125">
        <w:rPr>
          <w:rFonts w:ascii="Arial" w:hAnsi="Arial" w:cs="Arial"/>
        </w:rPr>
        <w:t>al</w:t>
      </w:r>
      <w:r w:rsidR="00425070" w:rsidRPr="00B95125">
        <w:rPr>
          <w:rFonts w:ascii="Arial" w:hAnsi="Arial" w:cs="Arial"/>
        </w:rPr>
        <w:t xml:space="preserve">/WaterVal </w:t>
      </w:r>
      <w:r w:rsidRPr="00B95125">
        <w:rPr>
          <w:rFonts w:ascii="Arial" w:hAnsi="Arial" w:cs="Arial"/>
        </w:rPr>
        <w:t>project coordinated by the Australian Water Recycling Centre of Excellence</w:t>
      </w:r>
      <w:r w:rsidR="00425070" w:rsidRPr="00B95125">
        <w:rPr>
          <w:rFonts w:ascii="Arial" w:hAnsi="Arial" w:cs="Arial"/>
        </w:rPr>
        <w:t xml:space="preserve"> and more recently by WaterSecure</w:t>
      </w:r>
      <w:r w:rsidR="00157952">
        <w:rPr>
          <w:rFonts w:ascii="Arial" w:hAnsi="Arial" w:cs="Arial"/>
        </w:rPr>
        <w:t xml:space="preserve"> (both of these entities have now ceased operating)</w:t>
      </w:r>
      <w:r w:rsidR="008E3FFD">
        <w:rPr>
          <w:rFonts w:ascii="Arial" w:hAnsi="Arial" w:cs="Arial"/>
        </w:rPr>
        <w:t>.</w:t>
      </w:r>
      <w:r w:rsidR="00157952">
        <w:rPr>
          <w:rFonts w:ascii="Arial" w:hAnsi="Arial" w:cs="Arial"/>
        </w:rPr>
        <w:t xml:space="preserve"> </w:t>
      </w:r>
    </w:p>
    <w:p w:rsidR="007208FA" w:rsidRPr="00B95125" w:rsidRDefault="007208FA" w:rsidP="00BF09FD">
      <w:pPr>
        <w:pStyle w:val="ListParagraph"/>
        <w:numPr>
          <w:ilvl w:val="0"/>
          <w:numId w:val="1"/>
        </w:numPr>
        <w:spacing w:after="120"/>
        <w:ind w:left="425" w:hanging="425"/>
        <w:contextualSpacing w:val="0"/>
        <w:rPr>
          <w:rFonts w:ascii="Arial" w:hAnsi="Arial" w:cs="Arial"/>
        </w:rPr>
      </w:pPr>
      <w:r w:rsidRPr="00B95125">
        <w:rPr>
          <w:rFonts w:ascii="Arial" w:hAnsi="Arial" w:cs="Arial"/>
        </w:rPr>
        <w:lastRenderedPageBreak/>
        <w:t xml:space="preserve">Additional information </w:t>
      </w:r>
      <w:r w:rsidR="00B207A6" w:rsidRPr="00B95125">
        <w:rPr>
          <w:rFonts w:ascii="Arial" w:hAnsi="Arial" w:cs="Arial"/>
        </w:rPr>
        <w:t xml:space="preserve">generated from Australian research </w:t>
      </w:r>
      <w:r w:rsidRPr="00B95125">
        <w:rPr>
          <w:rFonts w:ascii="Arial" w:hAnsi="Arial" w:cs="Arial"/>
        </w:rPr>
        <w:t>on exposures associated with uses of recycled water</w:t>
      </w:r>
      <w:r w:rsidR="006E7470" w:rsidRPr="00B95125">
        <w:rPr>
          <w:rFonts w:ascii="Arial" w:hAnsi="Arial" w:cs="Arial"/>
        </w:rPr>
        <w:t xml:space="preserve"> (Sinclair et al 2014 and 2016)</w:t>
      </w:r>
      <w:r w:rsidR="008E3FFD">
        <w:rPr>
          <w:rFonts w:ascii="Arial" w:hAnsi="Arial" w:cs="Arial"/>
        </w:rPr>
        <w:t>.</w:t>
      </w:r>
    </w:p>
    <w:p w:rsidR="00315E00" w:rsidRPr="00B95125" w:rsidRDefault="007208FA" w:rsidP="00315E00">
      <w:pPr>
        <w:pStyle w:val="ListParagraph"/>
        <w:numPr>
          <w:ilvl w:val="0"/>
          <w:numId w:val="1"/>
        </w:numPr>
        <w:spacing w:after="120"/>
        <w:ind w:left="425" w:hanging="425"/>
        <w:contextualSpacing w:val="0"/>
        <w:rPr>
          <w:rFonts w:ascii="Arial" w:hAnsi="Arial" w:cs="Arial"/>
        </w:rPr>
      </w:pPr>
      <w:r w:rsidRPr="00B95125">
        <w:rPr>
          <w:rFonts w:ascii="Arial" w:hAnsi="Arial" w:cs="Arial"/>
        </w:rPr>
        <w:t xml:space="preserve">Additional information arising from practical experiences </w:t>
      </w:r>
      <w:r w:rsidR="00B207A6" w:rsidRPr="00B95125">
        <w:rPr>
          <w:rFonts w:ascii="Arial" w:hAnsi="Arial" w:cs="Arial"/>
        </w:rPr>
        <w:t xml:space="preserve">associated with recycled water schemes following publication of the </w:t>
      </w:r>
      <w:r w:rsidRPr="00B95125">
        <w:rPr>
          <w:rFonts w:ascii="Arial" w:hAnsi="Arial" w:cs="Arial"/>
        </w:rPr>
        <w:t>Phase 1 document</w:t>
      </w:r>
      <w:r w:rsidR="00B207A6" w:rsidRPr="00B95125">
        <w:rPr>
          <w:rFonts w:ascii="Arial" w:hAnsi="Arial" w:cs="Arial"/>
        </w:rPr>
        <w:t xml:space="preserve">. This includes experience </w:t>
      </w:r>
      <w:r w:rsidR="00A85D76" w:rsidRPr="00B95125">
        <w:rPr>
          <w:rFonts w:ascii="Arial" w:hAnsi="Arial" w:cs="Arial"/>
        </w:rPr>
        <w:t>with cross</w:t>
      </w:r>
      <w:r w:rsidRPr="00B95125">
        <w:rPr>
          <w:rFonts w:ascii="Arial" w:hAnsi="Arial" w:cs="Arial"/>
        </w:rPr>
        <w:t>-connections</w:t>
      </w:r>
      <w:r w:rsidR="008E3FFD">
        <w:rPr>
          <w:rFonts w:ascii="Arial" w:hAnsi="Arial" w:cs="Arial"/>
        </w:rPr>
        <w:t>.</w:t>
      </w:r>
    </w:p>
    <w:p w:rsidR="000A6AEB" w:rsidRDefault="00315E00" w:rsidP="00315E00">
      <w:pPr>
        <w:pStyle w:val="ListParagraph"/>
        <w:numPr>
          <w:ilvl w:val="0"/>
          <w:numId w:val="1"/>
        </w:numPr>
        <w:spacing w:after="120"/>
        <w:ind w:left="425" w:hanging="425"/>
        <w:contextualSpacing w:val="0"/>
        <w:rPr>
          <w:rFonts w:ascii="Arial" w:hAnsi="Arial" w:cs="Arial"/>
        </w:rPr>
      </w:pPr>
      <w:r w:rsidRPr="00B95125">
        <w:rPr>
          <w:rFonts w:ascii="Arial" w:hAnsi="Arial" w:cs="Arial"/>
        </w:rPr>
        <w:t>Development and potential inclusion of a water safety continuum into the ADWG</w:t>
      </w:r>
      <w:r w:rsidR="00B207A6" w:rsidRPr="00B95125">
        <w:rPr>
          <w:rFonts w:ascii="Arial" w:hAnsi="Arial" w:cs="Arial"/>
        </w:rPr>
        <w:t xml:space="preserve"> as part of the proposed introduction of HBTs</w:t>
      </w:r>
      <w:r w:rsidRPr="00B95125">
        <w:rPr>
          <w:rFonts w:ascii="Arial" w:hAnsi="Arial" w:cs="Arial"/>
        </w:rPr>
        <w:t>.</w:t>
      </w:r>
      <w:r w:rsidR="00CE4AA6" w:rsidRPr="00B95125">
        <w:rPr>
          <w:rFonts w:ascii="Arial" w:hAnsi="Arial" w:cs="Arial"/>
        </w:rPr>
        <w:t xml:space="preserve"> </w:t>
      </w:r>
      <w:r w:rsidR="00001A73" w:rsidRPr="00B95125">
        <w:rPr>
          <w:rFonts w:ascii="Arial" w:hAnsi="Arial" w:cs="Arial"/>
        </w:rPr>
        <w:t xml:space="preserve"> </w:t>
      </w:r>
    </w:p>
    <w:p w:rsidR="00F82751" w:rsidRPr="00B95125" w:rsidRDefault="00F82751" w:rsidP="00F82751">
      <w:pPr>
        <w:pStyle w:val="ListParagraph"/>
        <w:spacing w:after="120"/>
        <w:ind w:left="425"/>
        <w:contextualSpacing w:val="0"/>
        <w:rPr>
          <w:rFonts w:ascii="Arial" w:hAnsi="Arial" w:cs="Arial"/>
        </w:rPr>
      </w:pPr>
    </w:p>
    <w:p w:rsidR="002D5CB3" w:rsidRPr="00B95125" w:rsidRDefault="00CA7638" w:rsidP="00685F88">
      <w:pPr>
        <w:pStyle w:val="ListParagraph"/>
        <w:keepNext/>
        <w:numPr>
          <w:ilvl w:val="0"/>
          <w:numId w:val="3"/>
        </w:numPr>
        <w:spacing w:after="120"/>
        <w:ind w:left="425" w:hanging="425"/>
        <w:contextualSpacing w:val="0"/>
        <w:rPr>
          <w:rFonts w:ascii="Arial" w:hAnsi="Arial" w:cs="Arial"/>
          <w:b/>
        </w:rPr>
      </w:pPr>
      <w:r w:rsidRPr="00B95125">
        <w:rPr>
          <w:rFonts w:ascii="Arial" w:hAnsi="Arial" w:cs="Arial"/>
          <w:b/>
        </w:rPr>
        <w:t>SPECIFIC CHANGES</w:t>
      </w:r>
    </w:p>
    <w:p w:rsidR="00491F23" w:rsidRPr="00B95125" w:rsidRDefault="00491F23" w:rsidP="00685F88">
      <w:pPr>
        <w:pStyle w:val="ListParagraph"/>
        <w:keepNext/>
        <w:numPr>
          <w:ilvl w:val="1"/>
          <w:numId w:val="3"/>
        </w:numPr>
        <w:spacing w:after="120"/>
        <w:ind w:left="426" w:hanging="426"/>
        <w:contextualSpacing w:val="0"/>
        <w:rPr>
          <w:rFonts w:ascii="Arial" w:hAnsi="Arial" w:cs="Arial"/>
          <w:b/>
        </w:rPr>
      </w:pPr>
      <w:r w:rsidRPr="00B95125">
        <w:rPr>
          <w:rFonts w:ascii="Arial" w:hAnsi="Arial" w:cs="Arial"/>
          <w:b/>
        </w:rPr>
        <w:t>Chapter 1</w:t>
      </w:r>
      <w:r w:rsidR="00B207A6" w:rsidRPr="00B95125">
        <w:rPr>
          <w:rFonts w:ascii="Arial" w:hAnsi="Arial" w:cs="Arial"/>
          <w:b/>
        </w:rPr>
        <w:t xml:space="preserve"> Introduction</w:t>
      </w:r>
    </w:p>
    <w:p w:rsidR="00491F23" w:rsidRPr="00B95125" w:rsidRDefault="00491F23" w:rsidP="00685F88">
      <w:pPr>
        <w:keepNext/>
        <w:rPr>
          <w:rFonts w:ascii="Arial" w:hAnsi="Arial" w:cs="Arial"/>
        </w:rPr>
      </w:pPr>
      <w:r w:rsidRPr="00B95125">
        <w:rPr>
          <w:rFonts w:ascii="Arial" w:hAnsi="Arial" w:cs="Arial"/>
        </w:rPr>
        <w:t>Minor updates</w:t>
      </w:r>
      <w:r w:rsidR="00332C7A" w:rsidRPr="00B95125">
        <w:rPr>
          <w:rFonts w:ascii="Arial" w:hAnsi="Arial" w:cs="Arial"/>
        </w:rPr>
        <w:t xml:space="preserve"> </w:t>
      </w:r>
      <w:r w:rsidR="00B207A6" w:rsidRPr="00B95125">
        <w:rPr>
          <w:rFonts w:ascii="Arial" w:hAnsi="Arial" w:cs="Arial"/>
        </w:rPr>
        <w:t>to reflect the later date of preparation of this revision</w:t>
      </w:r>
      <w:r w:rsidR="006E7470" w:rsidRPr="00B95125">
        <w:rPr>
          <w:rFonts w:ascii="Arial" w:hAnsi="Arial" w:cs="Arial"/>
        </w:rPr>
        <w:t xml:space="preserve">. For example, </w:t>
      </w:r>
      <w:r w:rsidR="007C78D5" w:rsidRPr="00B95125">
        <w:rPr>
          <w:rFonts w:ascii="Arial" w:hAnsi="Arial" w:cs="Arial"/>
        </w:rPr>
        <w:t>reference to the later Phase 2 modules has been included together with augmentation of drinking water supplies being a potential end-</w:t>
      </w:r>
      <w:r w:rsidR="00685F88" w:rsidRPr="00B95125">
        <w:rPr>
          <w:rFonts w:ascii="Arial" w:hAnsi="Arial" w:cs="Arial"/>
        </w:rPr>
        <w:t xml:space="preserve">use. </w:t>
      </w:r>
      <w:r w:rsidR="007C78D5" w:rsidRPr="00B95125">
        <w:rPr>
          <w:rFonts w:ascii="Arial" w:hAnsi="Arial" w:cs="Arial"/>
        </w:rPr>
        <w:t xml:space="preserve">When the original version of the Phase 1 document was published the Phase 2 modules had not been drafted. The module on Augmentation of Drinking-water Supplies was originally outside of the scope of the AGWR and was a later inclusion. </w:t>
      </w:r>
    </w:p>
    <w:p w:rsidR="00332C7A" w:rsidRPr="00B95125" w:rsidRDefault="00332C7A" w:rsidP="00CA7638">
      <w:pPr>
        <w:ind w:left="426" w:hanging="426"/>
        <w:rPr>
          <w:rFonts w:ascii="Arial" w:hAnsi="Arial" w:cs="Arial"/>
        </w:rPr>
      </w:pPr>
    </w:p>
    <w:p w:rsidR="00332C7A" w:rsidRPr="00B95125" w:rsidRDefault="00332C7A" w:rsidP="00CA7638">
      <w:pPr>
        <w:pStyle w:val="ListParagraph"/>
        <w:numPr>
          <w:ilvl w:val="1"/>
          <w:numId w:val="3"/>
        </w:numPr>
        <w:spacing w:after="120"/>
        <w:ind w:left="426" w:hanging="426"/>
        <w:rPr>
          <w:rFonts w:ascii="Arial" w:hAnsi="Arial" w:cs="Arial"/>
          <w:b/>
        </w:rPr>
      </w:pPr>
      <w:r w:rsidRPr="00B95125">
        <w:rPr>
          <w:rFonts w:ascii="Arial" w:hAnsi="Arial" w:cs="Arial"/>
          <w:b/>
        </w:rPr>
        <w:t>Chapter 2</w:t>
      </w:r>
      <w:r w:rsidR="00B207A6" w:rsidRPr="00B95125">
        <w:rPr>
          <w:rFonts w:ascii="Arial" w:hAnsi="Arial" w:cs="Arial"/>
          <w:b/>
        </w:rPr>
        <w:t xml:space="preserve"> Framework for management of recycled water quality and use</w:t>
      </w:r>
    </w:p>
    <w:p w:rsidR="00332C7A" w:rsidRPr="00B95125" w:rsidRDefault="00332C7A" w:rsidP="00CA7638">
      <w:pPr>
        <w:pStyle w:val="ListParagraph"/>
        <w:spacing w:after="120"/>
        <w:ind w:left="426" w:hanging="426"/>
        <w:rPr>
          <w:rFonts w:ascii="Arial" w:hAnsi="Arial" w:cs="Arial"/>
          <w:b/>
        </w:rPr>
      </w:pPr>
    </w:p>
    <w:p w:rsidR="00332C7A" w:rsidRPr="00B95125" w:rsidRDefault="00332C7A" w:rsidP="00CA7638">
      <w:pPr>
        <w:pStyle w:val="ListParagraph"/>
        <w:numPr>
          <w:ilvl w:val="0"/>
          <w:numId w:val="5"/>
        </w:numPr>
        <w:spacing w:after="120"/>
        <w:ind w:left="426" w:hanging="426"/>
        <w:rPr>
          <w:rFonts w:ascii="Arial" w:hAnsi="Arial" w:cs="Arial"/>
        </w:rPr>
      </w:pPr>
      <w:r w:rsidRPr="00B95125">
        <w:rPr>
          <w:rFonts w:ascii="Arial" w:hAnsi="Arial" w:cs="Arial"/>
        </w:rPr>
        <w:t>Moved Tables 2.1</w:t>
      </w:r>
      <w:r w:rsidR="00B207A6" w:rsidRPr="00B95125">
        <w:rPr>
          <w:rFonts w:ascii="Arial" w:hAnsi="Arial" w:cs="Arial"/>
        </w:rPr>
        <w:t xml:space="preserve"> (Characteristics of recycled water systems)</w:t>
      </w:r>
      <w:r w:rsidRPr="00B95125">
        <w:rPr>
          <w:rFonts w:ascii="Arial" w:hAnsi="Arial" w:cs="Arial"/>
        </w:rPr>
        <w:t>, 2.3</w:t>
      </w:r>
      <w:r w:rsidR="00B207A6" w:rsidRPr="00B95125">
        <w:rPr>
          <w:rFonts w:ascii="Arial" w:hAnsi="Arial" w:cs="Arial"/>
        </w:rPr>
        <w:t xml:space="preserve"> (Examples of sources and potential hazards)</w:t>
      </w:r>
      <w:r w:rsidRPr="00B95125">
        <w:rPr>
          <w:rFonts w:ascii="Arial" w:hAnsi="Arial" w:cs="Arial"/>
        </w:rPr>
        <w:t>, 2.4</w:t>
      </w:r>
      <w:r w:rsidR="00B207A6" w:rsidRPr="00B95125">
        <w:rPr>
          <w:rFonts w:ascii="Arial" w:hAnsi="Arial" w:cs="Arial"/>
        </w:rPr>
        <w:t xml:space="preserve"> (Examples of potential hazardous events)</w:t>
      </w:r>
      <w:r w:rsidRPr="00B95125">
        <w:rPr>
          <w:rFonts w:ascii="Arial" w:hAnsi="Arial" w:cs="Arial"/>
        </w:rPr>
        <w:t xml:space="preserve">, 2.8 </w:t>
      </w:r>
      <w:r w:rsidR="00B207A6" w:rsidRPr="00B95125">
        <w:rPr>
          <w:rFonts w:ascii="Arial" w:hAnsi="Arial" w:cs="Arial"/>
        </w:rPr>
        <w:t xml:space="preserve">(Examples of potential critical control points and operational criteria) </w:t>
      </w:r>
      <w:r w:rsidRPr="00B95125">
        <w:rPr>
          <w:rFonts w:ascii="Arial" w:hAnsi="Arial" w:cs="Arial"/>
        </w:rPr>
        <w:t xml:space="preserve">and Boxes 2.8 </w:t>
      </w:r>
      <w:r w:rsidR="00B207A6" w:rsidRPr="00B95125">
        <w:rPr>
          <w:rFonts w:ascii="Arial" w:hAnsi="Arial" w:cs="Arial"/>
        </w:rPr>
        <w:t xml:space="preserve">(Examples of process-control programs) </w:t>
      </w:r>
      <w:r w:rsidRPr="00B95125">
        <w:rPr>
          <w:rFonts w:ascii="Arial" w:hAnsi="Arial" w:cs="Arial"/>
        </w:rPr>
        <w:t xml:space="preserve">and 2.9 </w:t>
      </w:r>
      <w:r w:rsidR="00B207A6" w:rsidRPr="00B95125">
        <w:rPr>
          <w:rFonts w:ascii="Arial" w:hAnsi="Arial" w:cs="Arial"/>
        </w:rPr>
        <w:t xml:space="preserve">(Posssible corrective actions) </w:t>
      </w:r>
      <w:r w:rsidRPr="00B95125">
        <w:rPr>
          <w:rFonts w:ascii="Arial" w:hAnsi="Arial" w:cs="Arial"/>
        </w:rPr>
        <w:t xml:space="preserve">to Appendix 3 </w:t>
      </w:r>
      <w:r w:rsidR="00B207A6" w:rsidRPr="00B95125">
        <w:rPr>
          <w:rFonts w:ascii="Arial" w:hAnsi="Arial" w:cs="Arial"/>
        </w:rPr>
        <w:t xml:space="preserve">(Preventive measures) </w:t>
      </w:r>
      <w:r w:rsidRPr="00B95125">
        <w:rPr>
          <w:rFonts w:ascii="Arial" w:hAnsi="Arial" w:cs="Arial"/>
        </w:rPr>
        <w:t>to reduce detail in the Chapter</w:t>
      </w:r>
      <w:r w:rsidR="00086632">
        <w:rPr>
          <w:rFonts w:ascii="Arial" w:hAnsi="Arial" w:cs="Arial"/>
        </w:rPr>
        <w:t>.</w:t>
      </w:r>
    </w:p>
    <w:p w:rsidR="00332C7A" w:rsidRPr="00B95125" w:rsidRDefault="00332C7A" w:rsidP="00CA7638">
      <w:pPr>
        <w:pStyle w:val="ListParagraph"/>
        <w:numPr>
          <w:ilvl w:val="0"/>
          <w:numId w:val="5"/>
        </w:numPr>
        <w:ind w:left="426" w:hanging="426"/>
        <w:rPr>
          <w:rFonts w:ascii="Arial" w:hAnsi="Arial" w:cs="Arial"/>
        </w:rPr>
      </w:pPr>
      <w:r w:rsidRPr="00B95125">
        <w:rPr>
          <w:rFonts w:ascii="Arial" w:hAnsi="Arial" w:cs="Arial"/>
        </w:rPr>
        <w:t xml:space="preserve">Updated Section 2.9 on Validation to include reference to the Vic Dept of Health and Human Services protocol and the WaterVal/Water Secure framework.  </w:t>
      </w:r>
    </w:p>
    <w:p w:rsidR="00332C7A" w:rsidRPr="00B95125" w:rsidRDefault="00332C7A" w:rsidP="00CA7638">
      <w:pPr>
        <w:pStyle w:val="ListParagraph"/>
        <w:spacing w:after="120"/>
        <w:ind w:left="426" w:hanging="426"/>
        <w:rPr>
          <w:rFonts w:ascii="Arial" w:hAnsi="Arial" w:cs="Arial"/>
          <w:b/>
        </w:rPr>
      </w:pPr>
    </w:p>
    <w:p w:rsidR="00332C7A" w:rsidRPr="00B95125" w:rsidRDefault="00332C7A" w:rsidP="00CA7638">
      <w:pPr>
        <w:pStyle w:val="ListParagraph"/>
        <w:numPr>
          <w:ilvl w:val="1"/>
          <w:numId w:val="3"/>
        </w:numPr>
        <w:spacing w:after="120"/>
        <w:ind w:left="426" w:hanging="426"/>
        <w:contextualSpacing w:val="0"/>
        <w:rPr>
          <w:rFonts w:ascii="Arial" w:hAnsi="Arial" w:cs="Arial"/>
          <w:b/>
        </w:rPr>
      </w:pPr>
      <w:r w:rsidRPr="00B95125">
        <w:rPr>
          <w:rFonts w:ascii="Arial" w:hAnsi="Arial" w:cs="Arial"/>
          <w:b/>
        </w:rPr>
        <w:t>Chapter 3</w:t>
      </w:r>
      <w:r w:rsidR="00B207A6" w:rsidRPr="00B95125">
        <w:rPr>
          <w:rFonts w:ascii="Arial" w:hAnsi="Arial" w:cs="Arial"/>
          <w:b/>
        </w:rPr>
        <w:t xml:space="preserve"> Managing health risks in recycled water</w:t>
      </w:r>
    </w:p>
    <w:p w:rsidR="00A92350" w:rsidRPr="00B95125" w:rsidRDefault="00A92350"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The </w:t>
      </w:r>
      <w:r w:rsidR="00685ECB" w:rsidRPr="00B95125">
        <w:rPr>
          <w:rFonts w:ascii="Arial" w:hAnsi="Arial" w:cs="Arial"/>
        </w:rPr>
        <w:t xml:space="preserve">chapter has been updated using new data (largely from 2015-2016) to refine </w:t>
      </w:r>
      <w:r w:rsidR="00910DA3" w:rsidRPr="00B95125">
        <w:rPr>
          <w:rFonts w:ascii="Arial" w:hAnsi="Arial" w:cs="Arial"/>
        </w:rPr>
        <w:t>default concentrations of pathogens in sewage</w:t>
      </w:r>
      <w:r w:rsidR="00685ECB" w:rsidRPr="00B95125">
        <w:rPr>
          <w:rFonts w:ascii="Arial" w:hAnsi="Arial" w:cs="Arial"/>
        </w:rPr>
        <w:t xml:space="preserve"> (virtually no change)</w:t>
      </w:r>
      <w:r w:rsidRPr="00B95125">
        <w:rPr>
          <w:rFonts w:ascii="Arial" w:hAnsi="Arial" w:cs="Arial"/>
        </w:rPr>
        <w:t>.</w:t>
      </w:r>
      <w:r w:rsidR="00B207A6" w:rsidRPr="00B95125">
        <w:rPr>
          <w:rFonts w:ascii="Arial" w:hAnsi="Arial" w:cs="Arial"/>
        </w:rPr>
        <w:t xml:space="preserve"> Unlike the existing data </w:t>
      </w:r>
      <w:r w:rsidR="00581E54" w:rsidRPr="00B95125">
        <w:rPr>
          <w:rFonts w:ascii="Arial" w:hAnsi="Arial" w:cs="Arial"/>
        </w:rPr>
        <w:t xml:space="preserve">used in the 2006 version </w:t>
      </w:r>
      <w:r w:rsidR="00B207A6" w:rsidRPr="00B95125">
        <w:rPr>
          <w:rFonts w:ascii="Arial" w:hAnsi="Arial" w:cs="Arial"/>
        </w:rPr>
        <w:t xml:space="preserve">the new data has </w:t>
      </w:r>
      <w:r w:rsidR="00581E54" w:rsidRPr="00B95125">
        <w:rPr>
          <w:rFonts w:ascii="Arial" w:hAnsi="Arial" w:cs="Arial"/>
        </w:rPr>
        <w:t>be</w:t>
      </w:r>
      <w:r w:rsidR="00B207A6" w:rsidRPr="00B95125">
        <w:rPr>
          <w:rFonts w:ascii="Arial" w:hAnsi="Arial" w:cs="Arial"/>
        </w:rPr>
        <w:t>en published (</w:t>
      </w:r>
      <w:r w:rsidR="002E1803">
        <w:rPr>
          <w:rFonts w:ascii="Arial" w:hAnsi="Arial" w:cs="Arial"/>
        </w:rPr>
        <w:t xml:space="preserve">Deere and Khan </w:t>
      </w:r>
      <w:r w:rsidR="00B207A6" w:rsidRPr="00B95125">
        <w:rPr>
          <w:rFonts w:ascii="Arial" w:hAnsi="Arial" w:cs="Arial"/>
        </w:rPr>
        <w:t>2016; King et al 2017)</w:t>
      </w:r>
    </w:p>
    <w:p w:rsidR="003B07F2" w:rsidRPr="00B95125" w:rsidRDefault="00910DA3"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There have been a number of changes to calculating HBTs including performance targets (i.e. Log reduction values (LRVs)). All of these changes reflect new information published since </w:t>
      </w:r>
      <w:r w:rsidR="003B07F2" w:rsidRPr="00B95125">
        <w:rPr>
          <w:rFonts w:ascii="Arial" w:hAnsi="Arial" w:cs="Arial"/>
        </w:rPr>
        <w:t xml:space="preserve">2006. </w:t>
      </w:r>
    </w:p>
    <w:p w:rsidR="003B07F2" w:rsidRPr="00B95125" w:rsidRDefault="00A92350" w:rsidP="00CA7638">
      <w:pPr>
        <w:pStyle w:val="ListParagraph"/>
        <w:numPr>
          <w:ilvl w:val="1"/>
          <w:numId w:val="6"/>
        </w:numPr>
        <w:spacing w:after="120"/>
        <w:ind w:left="709" w:hanging="283"/>
        <w:contextualSpacing w:val="0"/>
        <w:rPr>
          <w:rFonts w:ascii="Arial" w:hAnsi="Arial" w:cs="Arial"/>
        </w:rPr>
      </w:pPr>
      <w:r w:rsidRPr="00B95125">
        <w:rPr>
          <w:rFonts w:ascii="Arial" w:hAnsi="Arial" w:cs="Arial"/>
        </w:rPr>
        <w:t>R</w:t>
      </w:r>
      <w:r w:rsidR="00685ECB" w:rsidRPr="00B95125">
        <w:rPr>
          <w:rFonts w:ascii="Arial" w:hAnsi="Arial" w:cs="Arial"/>
        </w:rPr>
        <w:t xml:space="preserve">otavirus </w:t>
      </w:r>
      <w:r w:rsidRPr="00B95125">
        <w:rPr>
          <w:rFonts w:ascii="Arial" w:hAnsi="Arial" w:cs="Arial"/>
        </w:rPr>
        <w:t xml:space="preserve">has been replaced by </w:t>
      </w:r>
      <w:r w:rsidR="00685ECB" w:rsidRPr="00B95125">
        <w:rPr>
          <w:rFonts w:ascii="Arial" w:hAnsi="Arial" w:cs="Arial"/>
        </w:rPr>
        <w:t>norovirus</w:t>
      </w:r>
      <w:r w:rsidRPr="00B95125">
        <w:rPr>
          <w:rFonts w:ascii="Arial" w:hAnsi="Arial" w:cs="Arial"/>
        </w:rPr>
        <w:t xml:space="preserve"> as the reference pathogen for enteric viruses</w:t>
      </w:r>
      <w:r w:rsidR="00D10B6D" w:rsidRPr="00B95125">
        <w:rPr>
          <w:rFonts w:ascii="Arial" w:hAnsi="Arial" w:cs="Arial"/>
        </w:rPr>
        <w:t xml:space="preserve"> (Gibney et al 2014, 2015)</w:t>
      </w:r>
      <w:r w:rsidRPr="00B95125">
        <w:rPr>
          <w:rFonts w:ascii="Arial" w:hAnsi="Arial" w:cs="Arial"/>
        </w:rPr>
        <w:t xml:space="preserve">. </w:t>
      </w:r>
    </w:p>
    <w:p w:rsidR="00D41748" w:rsidRPr="00B95125" w:rsidRDefault="00D56E83" w:rsidP="00CA7638">
      <w:pPr>
        <w:pStyle w:val="ListParagraph"/>
        <w:numPr>
          <w:ilvl w:val="1"/>
          <w:numId w:val="6"/>
        </w:numPr>
        <w:spacing w:after="120"/>
        <w:ind w:left="709" w:hanging="283"/>
        <w:contextualSpacing w:val="0"/>
        <w:rPr>
          <w:rFonts w:ascii="Arial" w:hAnsi="Arial" w:cs="Arial"/>
        </w:rPr>
      </w:pPr>
      <w:r w:rsidRPr="00B95125">
        <w:rPr>
          <w:rFonts w:ascii="Arial" w:hAnsi="Arial" w:cs="Arial"/>
        </w:rPr>
        <w:t xml:space="preserve">A new dose response for </w:t>
      </w:r>
      <w:r w:rsidRPr="00B95125">
        <w:rPr>
          <w:rFonts w:ascii="Arial" w:hAnsi="Arial" w:cs="Arial"/>
          <w:i/>
        </w:rPr>
        <w:t>Cryptosporidium</w:t>
      </w:r>
      <w:r w:rsidRPr="00B95125">
        <w:rPr>
          <w:rFonts w:ascii="Arial" w:hAnsi="Arial" w:cs="Arial"/>
        </w:rPr>
        <w:t xml:space="preserve"> published by </w:t>
      </w:r>
      <w:r w:rsidR="00D41748" w:rsidRPr="00B95125">
        <w:rPr>
          <w:rFonts w:ascii="Arial" w:hAnsi="Arial" w:cs="Arial"/>
        </w:rPr>
        <w:t>WHO (</w:t>
      </w:r>
      <w:r w:rsidRPr="00B95125">
        <w:rPr>
          <w:rFonts w:ascii="Arial" w:hAnsi="Arial" w:cs="Arial"/>
        </w:rPr>
        <w:t>Medema et al 200</w:t>
      </w:r>
      <w:r w:rsidR="00D41748" w:rsidRPr="00B95125">
        <w:rPr>
          <w:rFonts w:ascii="Arial" w:hAnsi="Arial" w:cs="Arial"/>
        </w:rPr>
        <w:t>9</w:t>
      </w:r>
      <w:r w:rsidRPr="00B95125">
        <w:rPr>
          <w:rFonts w:ascii="Arial" w:hAnsi="Arial" w:cs="Arial"/>
        </w:rPr>
        <w:t xml:space="preserve">) </w:t>
      </w:r>
      <w:r w:rsidR="00910DA3" w:rsidRPr="00B95125">
        <w:rPr>
          <w:rFonts w:ascii="Arial" w:hAnsi="Arial" w:cs="Arial"/>
        </w:rPr>
        <w:t>h</w:t>
      </w:r>
      <w:r w:rsidRPr="00B95125">
        <w:rPr>
          <w:rFonts w:ascii="Arial" w:hAnsi="Arial" w:cs="Arial"/>
        </w:rPr>
        <w:t>as been included</w:t>
      </w:r>
      <w:r w:rsidR="00910DA3" w:rsidRPr="00B95125">
        <w:rPr>
          <w:rFonts w:ascii="Arial" w:hAnsi="Arial" w:cs="Arial"/>
        </w:rPr>
        <w:t xml:space="preserve">. This dose response </w:t>
      </w:r>
      <w:r w:rsidR="003B07F2" w:rsidRPr="00B95125">
        <w:rPr>
          <w:rFonts w:ascii="Arial" w:hAnsi="Arial" w:cs="Arial"/>
        </w:rPr>
        <w:t>was</w:t>
      </w:r>
      <w:r w:rsidR="00910DA3" w:rsidRPr="00B95125">
        <w:rPr>
          <w:rFonts w:ascii="Arial" w:hAnsi="Arial" w:cs="Arial"/>
        </w:rPr>
        <w:t xml:space="preserve"> included in the </w:t>
      </w:r>
      <w:r w:rsidR="003B07F2" w:rsidRPr="00B95125">
        <w:rPr>
          <w:rFonts w:ascii="Arial" w:hAnsi="Arial" w:cs="Arial"/>
        </w:rPr>
        <w:t>4</w:t>
      </w:r>
      <w:r w:rsidR="003B07F2" w:rsidRPr="00B95125">
        <w:rPr>
          <w:rFonts w:ascii="Arial" w:hAnsi="Arial" w:cs="Arial"/>
          <w:vertAlign w:val="superscript"/>
        </w:rPr>
        <w:t>th</w:t>
      </w:r>
      <w:r w:rsidR="003B07F2" w:rsidRPr="00B95125">
        <w:rPr>
          <w:rFonts w:ascii="Arial" w:hAnsi="Arial" w:cs="Arial"/>
        </w:rPr>
        <w:t xml:space="preserve"> edition of the </w:t>
      </w:r>
      <w:r w:rsidR="00910DA3" w:rsidRPr="00B95125">
        <w:rPr>
          <w:rFonts w:ascii="Arial" w:hAnsi="Arial" w:cs="Arial"/>
        </w:rPr>
        <w:t xml:space="preserve">WHO GDWQ </w:t>
      </w:r>
      <w:r w:rsidR="003B07F2" w:rsidRPr="00B95125">
        <w:rPr>
          <w:rFonts w:ascii="Arial" w:hAnsi="Arial" w:cs="Arial"/>
        </w:rPr>
        <w:t xml:space="preserve">(originally published in 2014) </w:t>
      </w:r>
      <w:r w:rsidR="00910DA3" w:rsidRPr="00B95125">
        <w:rPr>
          <w:rFonts w:ascii="Arial" w:hAnsi="Arial" w:cs="Arial"/>
        </w:rPr>
        <w:t xml:space="preserve">and in the draft </w:t>
      </w:r>
      <w:r w:rsidR="00124D1C">
        <w:rPr>
          <w:rFonts w:ascii="Arial" w:hAnsi="Arial" w:cs="Arial"/>
        </w:rPr>
        <w:t xml:space="preserve">text </w:t>
      </w:r>
      <w:r w:rsidR="00910DA3" w:rsidRPr="00B95125">
        <w:rPr>
          <w:rFonts w:ascii="Arial" w:hAnsi="Arial" w:cs="Arial"/>
        </w:rPr>
        <w:t xml:space="preserve">on HBTs for </w:t>
      </w:r>
      <w:r w:rsidR="00124D1C">
        <w:rPr>
          <w:rFonts w:ascii="Arial" w:hAnsi="Arial" w:cs="Arial"/>
        </w:rPr>
        <w:t xml:space="preserve">proposed introduction into </w:t>
      </w:r>
      <w:r w:rsidR="00910DA3" w:rsidRPr="00B95125">
        <w:rPr>
          <w:rFonts w:ascii="Arial" w:hAnsi="Arial" w:cs="Arial"/>
        </w:rPr>
        <w:t xml:space="preserve">the ADWG. </w:t>
      </w:r>
    </w:p>
    <w:p w:rsidR="003B07F2" w:rsidRPr="00B95125" w:rsidRDefault="00A92350" w:rsidP="00CA7638">
      <w:pPr>
        <w:pStyle w:val="ListParagraph"/>
        <w:numPr>
          <w:ilvl w:val="1"/>
          <w:numId w:val="6"/>
        </w:numPr>
        <w:spacing w:after="120"/>
        <w:ind w:left="709" w:hanging="283"/>
        <w:contextualSpacing w:val="0"/>
        <w:rPr>
          <w:rFonts w:ascii="Arial" w:hAnsi="Arial" w:cs="Arial"/>
        </w:rPr>
      </w:pPr>
      <w:r w:rsidRPr="00B95125">
        <w:rPr>
          <w:rFonts w:ascii="Arial" w:hAnsi="Arial" w:cs="Arial"/>
        </w:rPr>
        <w:t xml:space="preserve">New disease </w:t>
      </w:r>
      <w:r w:rsidR="006F7896" w:rsidRPr="00B95125">
        <w:rPr>
          <w:rFonts w:ascii="Arial" w:hAnsi="Arial" w:cs="Arial"/>
        </w:rPr>
        <w:t xml:space="preserve">burdens </w:t>
      </w:r>
      <w:r w:rsidR="0057093D" w:rsidRPr="00B95125">
        <w:rPr>
          <w:rFonts w:ascii="Arial" w:hAnsi="Arial" w:cs="Arial"/>
        </w:rPr>
        <w:t xml:space="preserve">determined in a project designed </w:t>
      </w:r>
      <w:r w:rsidR="00973DA0" w:rsidRPr="00B95125">
        <w:rPr>
          <w:rFonts w:ascii="Arial" w:hAnsi="Arial" w:cs="Arial"/>
        </w:rPr>
        <w:t xml:space="preserve">to support </w:t>
      </w:r>
      <w:r w:rsidR="0057093D" w:rsidRPr="00B95125">
        <w:rPr>
          <w:rFonts w:ascii="Arial" w:hAnsi="Arial" w:cs="Arial"/>
        </w:rPr>
        <w:t>the proposed introduction of</w:t>
      </w:r>
      <w:r w:rsidR="00973DA0" w:rsidRPr="00B95125">
        <w:rPr>
          <w:rFonts w:ascii="Arial" w:hAnsi="Arial" w:cs="Arial"/>
        </w:rPr>
        <w:t xml:space="preserve"> HBTs </w:t>
      </w:r>
      <w:r w:rsidR="00124D1C">
        <w:rPr>
          <w:rFonts w:ascii="Arial" w:hAnsi="Arial" w:cs="Arial"/>
        </w:rPr>
        <w:t>in</w:t>
      </w:r>
      <w:r w:rsidR="0057093D" w:rsidRPr="00B95125">
        <w:rPr>
          <w:rFonts w:ascii="Arial" w:hAnsi="Arial" w:cs="Arial"/>
        </w:rPr>
        <w:t>to</w:t>
      </w:r>
      <w:r w:rsidR="00973DA0" w:rsidRPr="00B95125">
        <w:rPr>
          <w:rFonts w:ascii="Arial" w:hAnsi="Arial" w:cs="Arial"/>
        </w:rPr>
        <w:t xml:space="preserve"> the ADWG </w:t>
      </w:r>
      <w:r w:rsidR="00883A78" w:rsidRPr="00B95125">
        <w:rPr>
          <w:rFonts w:ascii="Arial" w:hAnsi="Arial" w:cs="Arial"/>
        </w:rPr>
        <w:t>(</w:t>
      </w:r>
      <w:r w:rsidR="00685ECB" w:rsidRPr="00B95125">
        <w:rPr>
          <w:rFonts w:ascii="Arial" w:hAnsi="Arial" w:cs="Arial"/>
        </w:rPr>
        <w:t xml:space="preserve">Gibney et al </w:t>
      </w:r>
      <w:r w:rsidR="006F7896" w:rsidRPr="00B95125">
        <w:rPr>
          <w:rFonts w:ascii="Arial" w:hAnsi="Arial" w:cs="Arial"/>
        </w:rPr>
        <w:t>2014)</w:t>
      </w:r>
      <w:r w:rsidR="00973DA0" w:rsidRPr="00B95125">
        <w:rPr>
          <w:rFonts w:ascii="Arial" w:hAnsi="Arial" w:cs="Arial"/>
        </w:rPr>
        <w:t xml:space="preserve">. </w:t>
      </w:r>
    </w:p>
    <w:p w:rsidR="00685ECB" w:rsidRPr="00B95125" w:rsidRDefault="003B07F2" w:rsidP="00CA7638">
      <w:pPr>
        <w:spacing w:after="120"/>
        <w:ind w:left="426"/>
        <w:rPr>
          <w:rFonts w:ascii="Arial" w:hAnsi="Arial" w:cs="Arial"/>
        </w:rPr>
      </w:pPr>
      <w:r w:rsidRPr="00B95125">
        <w:rPr>
          <w:rFonts w:ascii="Arial" w:hAnsi="Arial" w:cs="Arial"/>
        </w:rPr>
        <w:t xml:space="preserve">The main impact </w:t>
      </w:r>
      <w:r w:rsidR="00D41748" w:rsidRPr="00B95125">
        <w:rPr>
          <w:rFonts w:ascii="Arial" w:hAnsi="Arial" w:cs="Arial"/>
        </w:rPr>
        <w:t xml:space="preserve">of these changes </w:t>
      </w:r>
      <w:r w:rsidRPr="00B95125">
        <w:rPr>
          <w:rFonts w:ascii="Arial" w:hAnsi="Arial" w:cs="Arial"/>
        </w:rPr>
        <w:t xml:space="preserve">has been to </w:t>
      </w:r>
      <w:r w:rsidR="00581E54" w:rsidRPr="00B95125">
        <w:rPr>
          <w:rFonts w:ascii="Arial" w:hAnsi="Arial" w:cs="Arial"/>
        </w:rPr>
        <w:t xml:space="preserve">existing </w:t>
      </w:r>
      <w:r w:rsidRPr="00B95125">
        <w:rPr>
          <w:rFonts w:ascii="Arial" w:hAnsi="Arial" w:cs="Arial"/>
        </w:rPr>
        <w:t xml:space="preserve">Table 3.7 </w:t>
      </w:r>
      <w:r w:rsidR="00D10B6D" w:rsidRPr="00B95125">
        <w:rPr>
          <w:rFonts w:ascii="Arial" w:hAnsi="Arial" w:cs="Arial"/>
        </w:rPr>
        <w:t xml:space="preserve">(Log reductions for priority uses of recycled water from treated sewage) </w:t>
      </w:r>
      <w:r w:rsidRPr="00B95125">
        <w:rPr>
          <w:rFonts w:ascii="Arial" w:hAnsi="Arial" w:cs="Arial"/>
        </w:rPr>
        <w:t xml:space="preserve">and </w:t>
      </w:r>
      <w:r w:rsidR="00124D1C">
        <w:rPr>
          <w:rFonts w:ascii="Arial" w:hAnsi="Arial" w:cs="Arial"/>
        </w:rPr>
        <w:t xml:space="preserve">Table </w:t>
      </w:r>
      <w:r w:rsidRPr="00B95125">
        <w:rPr>
          <w:rFonts w:ascii="Arial" w:hAnsi="Arial" w:cs="Arial"/>
        </w:rPr>
        <w:t xml:space="preserve">3.8 </w:t>
      </w:r>
      <w:r w:rsidR="00D10B6D" w:rsidRPr="00B95125">
        <w:rPr>
          <w:rFonts w:ascii="Arial" w:hAnsi="Arial" w:cs="Arial"/>
        </w:rPr>
        <w:t xml:space="preserve">(Treatment processes and </w:t>
      </w:r>
      <w:r w:rsidR="009D2FAA" w:rsidRPr="00B95125">
        <w:rPr>
          <w:rFonts w:ascii="Arial" w:hAnsi="Arial" w:cs="Arial"/>
        </w:rPr>
        <w:t>on</w:t>
      </w:r>
      <w:r w:rsidR="000F7392">
        <w:rPr>
          <w:rFonts w:ascii="Arial" w:hAnsi="Arial" w:cs="Arial"/>
        </w:rPr>
        <w:t xml:space="preserve"> site</w:t>
      </w:r>
      <w:r w:rsidR="00D10B6D" w:rsidRPr="00B95125">
        <w:rPr>
          <w:rFonts w:ascii="Arial" w:hAnsi="Arial" w:cs="Arial"/>
        </w:rPr>
        <w:t xml:space="preserve"> </w:t>
      </w:r>
      <w:bookmarkStart w:id="0" w:name="_GoBack"/>
      <w:bookmarkEnd w:id="0"/>
      <w:r w:rsidR="00D10B6D" w:rsidRPr="00B95125">
        <w:rPr>
          <w:rFonts w:ascii="Arial" w:hAnsi="Arial" w:cs="Arial"/>
        </w:rPr>
        <w:t xml:space="preserve">controls for designated uses of recycled water from treated sewage) </w:t>
      </w:r>
      <w:r w:rsidRPr="00B95125">
        <w:rPr>
          <w:rFonts w:ascii="Arial" w:hAnsi="Arial" w:cs="Arial"/>
        </w:rPr>
        <w:t>and the calculations include</w:t>
      </w:r>
      <w:r w:rsidR="00D10B6D" w:rsidRPr="00B95125">
        <w:rPr>
          <w:rFonts w:ascii="Arial" w:hAnsi="Arial" w:cs="Arial"/>
        </w:rPr>
        <w:t>d</w:t>
      </w:r>
      <w:r w:rsidRPr="00B95125">
        <w:rPr>
          <w:rFonts w:ascii="Arial" w:hAnsi="Arial" w:cs="Arial"/>
        </w:rPr>
        <w:t xml:space="preserve"> in Appendix 2 </w:t>
      </w:r>
      <w:r w:rsidR="00D10B6D" w:rsidRPr="00B95125">
        <w:rPr>
          <w:rFonts w:ascii="Arial" w:hAnsi="Arial" w:cs="Arial"/>
        </w:rPr>
        <w:t>(Calculation of microbial health-based performance targets)</w:t>
      </w:r>
      <w:r w:rsidR="00685ECB" w:rsidRPr="00B95125">
        <w:rPr>
          <w:rFonts w:ascii="Arial" w:hAnsi="Arial" w:cs="Arial"/>
        </w:rPr>
        <w:t xml:space="preserve">. </w:t>
      </w:r>
      <w:r w:rsidR="008E3FFD">
        <w:rPr>
          <w:rFonts w:ascii="Arial" w:hAnsi="Arial" w:cs="Arial"/>
        </w:rPr>
        <w:t>The consequences of these changes are discussed below in section 4.2</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The discussion of </w:t>
      </w:r>
      <w:r w:rsidR="00D10B6D" w:rsidRPr="00B95125">
        <w:rPr>
          <w:rFonts w:ascii="Arial" w:hAnsi="Arial" w:cs="Arial"/>
        </w:rPr>
        <w:t>disability adjusted life years (</w:t>
      </w:r>
      <w:r w:rsidRPr="00B95125">
        <w:rPr>
          <w:rFonts w:ascii="Arial" w:hAnsi="Arial" w:cs="Arial"/>
        </w:rPr>
        <w:t>DALYs</w:t>
      </w:r>
      <w:r w:rsidR="00D10B6D" w:rsidRPr="00B95125">
        <w:rPr>
          <w:rFonts w:ascii="Arial" w:hAnsi="Arial" w:cs="Arial"/>
        </w:rPr>
        <w:t>)</w:t>
      </w:r>
      <w:r w:rsidRPr="00B95125">
        <w:rPr>
          <w:rFonts w:ascii="Arial" w:hAnsi="Arial" w:cs="Arial"/>
        </w:rPr>
        <w:t xml:space="preserve"> has been refined in Section 3.1.1 and Box 3.1 </w:t>
      </w:r>
      <w:r w:rsidR="00D10B6D" w:rsidRPr="00B95125">
        <w:rPr>
          <w:rFonts w:ascii="Arial" w:hAnsi="Arial" w:cs="Arial"/>
        </w:rPr>
        <w:t xml:space="preserve">(Disability Adjusted Life Years) </w:t>
      </w:r>
      <w:r w:rsidRPr="00B95125">
        <w:rPr>
          <w:rFonts w:ascii="Arial" w:hAnsi="Arial" w:cs="Arial"/>
        </w:rPr>
        <w:t xml:space="preserve">has been revised. The concept of </w:t>
      </w:r>
      <w:r w:rsidR="006F7896" w:rsidRPr="00B95125">
        <w:rPr>
          <w:rFonts w:ascii="Arial" w:hAnsi="Arial" w:cs="Arial"/>
        </w:rPr>
        <w:t>a</w:t>
      </w:r>
      <w:r w:rsidRPr="00B95125">
        <w:rPr>
          <w:rFonts w:ascii="Arial" w:hAnsi="Arial" w:cs="Arial"/>
        </w:rPr>
        <w:t xml:space="preserve"> </w:t>
      </w:r>
      <w:r w:rsidR="006F7896" w:rsidRPr="00B95125">
        <w:rPr>
          <w:rFonts w:ascii="Arial" w:hAnsi="Arial" w:cs="Arial"/>
        </w:rPr>
        <w:t xml:space="preserve">water safety </w:t>
      </w:r>
      <w:r w:rsidRPr="00B95125">
        <w:rPr>
          <w:rFonts w:ascii="Arial" w:hAnsi="Arial" w:cs="Arial"/>
        </w:rPr>
        <w:t xml:space="preserve">continuum </w:t>
      </w:r>
      <w:r w:rsidR="006F7896" w:rsidRPr="00B95125">
        <w:rPr>
          <w:rFonts w:ascii="Arial" w:hAnsi="Arial" w:cs="Arial"/>
        </w:rPr>
        <w:t xml:space="preserve">as developed for the ADWG </w:t>
      </w:r>
      <w:r w:rsidRPr="00B95125">
        <w:rPr>
          <w:rFonts w:ascii="Arial" w:hAnsi="Arial" w:cs="Arial"/>
        </w:rPr>
        <w:t>has been included as a concept for assessing overall risk</w:t>
      </w:r>
      <w:r w:rsidR="006F7896" w:rsidRPr="00B95125">
        <w:rPr>
          <w:rFonts w:ascii="Arial" w:hAnsi="Arial" w:cs="Arial"/>
        </w:rPr>
        <w:t xml:space="preserve"> particular</w:t>
      </w:r>
      <w:r w:rsidR="00D56E83" w:rsidRPr="00B95125">
        <w:rPr>
          <w:rFonts w:ascii="Arial" w:hAnsi="Arial" w:cs="Arial"/>
        </w:rPr>
        <w:t>l</w:t>
      </w:r>
      <w:r w:rsidR="006F7896" w:rsidRPr="00B95125">
        <w:rPr>
          <w:rFonts w:ascii="Arial" w:hAnsi="Arial" w:cs="Arial"/>
        </w:rPr>
        <w:t>y for established schemes.</w:t>
      </w:r>
      <w:r w:rsidRPr="00B95125">
        <w:rPr>
          <w:rFonts w:ascii="Arial" w:hAnsi="Arial" w:cs="Arial"/>
        </w:rPr>
        <w:t xml:space="preserve"> </w:t>
      </w:r>
      <w:r w:rsidR="006F7896" w:rsidRPr="00B95125">
        <w:rPr>
          <w:rFonts w:ascii="Arial" w:hAnsi="Arial" w:cs="Arial"/>
        </w:rPr>
        <w:t xml:space="preserve">The continuum has </w:t>
      </w:r>
      <w:r w:rsidRPr="00B95125">
        <w:rPr>
          <w:rFonts w:ascii="Arial" w:hAnsi="Arial" w:cs="Arial"/>
        </w:rPr>
        <w:t xml:space="preserve">not been used to modify </w:t>
      </w:r>
      <w:r w:rsidRPr="00B95125">
        <w:rPr>
          <w:rFonts w:ascii="Arial" w:hAnsi="Arial" w:cs="Arial"/>
        </w:rPr>
        <w:lastRenderedPageBreak/>
        <w:t>performance targets</w:t>
      </w:r>
      <w:r w:rsidR="008E3FFD">
        <w:rPr>
          <w:rFonts w:ascii="Arial" w:hAnsi="Arial" w:cs="Arial"/>
        </w:rPr>
        <w:t>.</w:t>
      </w:r>
      <w:r w:rsidR="006F7896" w:rsidRPr="00B95125">
        <w:rPr>
          <w:rFonts w:ascii="Arial" w:hAnsi="Arial" w:cs="Arial"/>
        </w:rPr>
        <w:t xml:space="preserve"> </w:t>
      </w:r>
      <w:r w:rsidRPr="00B95125">
        <w:rPr>
          <w:rFonts w:ascii="Arial" w:hAnsi="Arial" w:cs="Arial"/>
        </w:rPr>
        <w:t>The discussion of risk assessment (</w:t>
      </w:r>
      <w:r w:rsidR="006F7896" w:rsidRPr="00B95125">
        <w:rPr>
          <w:rFonts w:ascii="Arial" w:hAnsi="Arial" w:cs="Arial"/>
        </w:rPr>
        <w:t xml:space="preserve">Section </w:t>
      </w:r>
      <w:r w:rsidRPr="00B95125">
        <w:rPr>
          <w:rFonts w:ascii="Arial" w:hAnsi="Arial" w:cs="Arial"/>
        </w:rPr>
        <w:t>3.2) has been revised/refined</w:t>
      </w:r>
      <w:r w:rsidR="00086632">
        <w:rPr>
          <w:rFonts w:ascii="Arial" w:hAnsi="Arial" w:cs="Arial"/>
        </w:rPr>
        <w:t>.</w:t>
      </w:r>
      <w:r w:rsidRPr="00B95125">
        <w:rPr>
          <w:rFonts w:ascii="Arial" w:hAnsi="Arial" w:cs="Arial"/>
        </w:rPr>
        <w:t xml:space="preserve"> </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3.2 </w:t>
      </w:r>
      <w:r w:rsidR="00D10B6D" w:rsidRPr="00B95125">
        <w:rPr>
          <w:rFonts w:ascii="Arial" w:hAnsi="Arial" w:cs="Arial"/>
        </w:rPr>
        <w:t xml:space="preserve">(Dose response relationships for reference pathogens) </w:t>
      </w:r>
      <w:r w:rsidRPr="00B95125">
        <w:rPr>
          <w:rFonts w:ascii="Arial" w:hAnsi="Arial" w:cs="Arial"/>
        </w:rPr>
        <w:t>has been</w:t>
      </w:r>
      <w:r w:rsidR="00D10B6D" w:rsidRPr="00B95125">
        <w:rPr>
          <w:rFonts w:ascii="Arial" w:hAnsi="Arial" w:cs="Arial"/>
        </w:rPr>
        <w:t xml:space="preserve"> updated as above and</w:t>
      </w:r>
      <w:r w:rsidRPr="00B95125">
        <w:rPr>
          <w:rFonts w:ascii="Arial" w:hAnsi="Arial" w:cs="Arial"/>
        </w:rPr>
        <w:t xml:space="preserve"> moved to Appendix 2</w:t>
      </w:r>
      <w:r w:rsidR="00D10B6D" w:rsidRPr="00B95125">
        <w:rPr>
          <w:rFonts w:ascii="Arial" w:hAnsi="Arial" w:cs="Arial"/>
        </w:rPr>
        <w:t xml:space="preserve"> (Calculation of microbial health-based performance targets)</w:t>
      </w:r>
      <w:r w:rsidRPr="00B95125">
        <w:rPr>
          <w:rFonts w:ascii="Arial" w:hAnsi="Arial" w:cs="Arial"/>
        </w:rPr>
        <w:t>.</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3.3 </w:t>
      </w:r>
      <w:r w:rsidR="00D10B6D" w:rsidRPr="00B95125">
        <w:rPr>
          <w:rFonts w:ascii="Arial" w:hAnsi="Arial" w:cs="Arial"/>
        </w:rPr>
        <w:t xml:space="preserve">(Intended uses and associated exposures for recycled water) </w:t>
      </w:r>
      <w:r w:rsidRPr="00B95125">
        <w:rPr>
          <w:rFonts w:ascii="Arial" w:hAnsi="Arial" w:cs="Arial"/>
        </w:rPr>
        <w:t xml:space="preserve">(now </w:t>
      </w:r>
      <w:r w:rsidR="00581E54" w:rsidRPr="00B95125">
        <w:rPr>
          <w:rFonts w:ascii="Arial" w:hAnsi="Arial" w:cs="Arial"/>
        </w:rPr>
        <w:t xml:space="preserve">Table </w:t>
      </w:r>
      <w:r w:rsidRPr="00B95125">
        <w:rPr>
          <w:rFonts w:ascii="Arial" w:hAnsi="Arial" w:cs="Arial"/>
        </w:rPr>
        <w:t>3.2) has been updated</w:t>
      </w:r>
      <w:r w:rsidR="006F7896" w:rsidRPr="00B95125">
        <w:rPr>
          <w:rFonts w:ascii="Arial" w:hAnsi="Arial" w:cs="Arial"/>
        </w:rPr>
        <w:t xml:space="preserve"> </w:t>
      </w:r>
      <w:r w:rsidR="00994D8A" w:rsidRPr="00B95125">
        <w:rPr>
          <w:rFonts w:ascii="Arial" w:hAnsi="Arial" w:cs="Arial"/>
        </w:rPr>
        <w:t xml:space="preserve">with the addition of new exposure data for domestic car washing, window </w:t>
      </w:r>
      <w:r w:rsidR="00D10B6D" w:rsidRPr="00B95125">
        <w:rPr>
          <w:rFonts w:ascii="Arial" w:hAnsi="Arial" w:cs="Arial"/>
        </w:rPr>
        <w:t xml:space="preserve">and paving </w:t>
      </w:r>
      <w:r w:rsidR="00994D8A" w:rsidRPr="00B95125">
        <w:rPr>
          <w:rFonts w:ascii="Arial" w:hAnsi="Arial" w:cs="Arial"/>
        </w:rPr>
        <w:t xml:space="preserve">washing and occupational hosing down activities. Data </w:t>
      </w:r>
      <w:r w:rsidR="00315E00" w:rsidRPr="00B95125">
        <w:rPr>
          <w:rFonts w:ascii="Arial" w:hAnsi="Arial" w:cs="Arial"/>
        </w:rPr>
        <w:t xml:space="preserve">included </w:t>
      </w:r>
      <w:r w:rsidR="00994D8A" w:rsidRPr="00B95125">
        <w:rPr>
          <w:rFonts w:ascii="Arial" w:hAnsi="Arial" w:cs="Arial"/>
        </w:rPr>
        <w:t>is from Australian studies (Sinclair et al 2014 and 2016)</w:t>
      </w:r>
      <w:r w:rsidR="00086632">
        <w:rPr>
          <w:rFonts w:ascii="Arial" w:hAnsi="Arial" w:cs="Arial"/>
        </w:rPr>
        <w:t>.</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3.4 </w:t>
      </w:r>
      <w:r w:rsidR="00D10B6D" w:rsidRPr="00B95125">
        <w:rPr>
          <w:rFonts w:ascii="Arial" w:hAnsi="Arial" w:cs="Arial"/>
        </w:rPr>
        <w:t xml:space="preserve">(Indicative log removals of enteric pathogens and indicator organisms) </w:t>
      </w:r>
      <w:r w:rsidRPr="00B95125">
        <w:rPr>
          <w:rFonts w:ascii="Arial" w:hAnsi="Arial" w:cs="Arial"/>
        </w:rPr>
        <w:t xml:space="preserve">(now </w:t>
      </w:r>
      <w:r w:rsidR="00581E54" w:rsidRPr="00B95125">
        <w:rPr>
          <w:rFonts w:ascii="Arial" w:hAnsi="Arial" w:cs="Arial"/>
        </w:rPr>
        <w:t xml:space="preserve">Table </w:t>
      </w:r>
      <w:r w:rsidRPr="00B95125">
        <w:rPr>
          <w:rFonts w:ascii="Arial" w:hAnsi="Arial" w:cs="Arial"/>
        </w:rPr>
        <w:t>3.3) has been changed to include validated LRVs</w:t>
      </w:r>
      <w:r w:rsidR="00994D8A" w:rsidRPr="00B95125">
        <w:rPr>
          <w:rFonts w:ascii="Arial" w:hAnsi="Arial" w:cs="Arial"/>
        </w:rPr>
        <w:t>. The basis for validation of specific processes is included. Relatively recent information generated by the NatVal</w:t>
      </w:r>
      <w:r w:rsidR="00D10B6D" w:rsidRPr="00B95125">
        <w:rPr>
          <w:rFonts w:ascii="Arial" w:hAnsi="Arial" w:cs="Arial"/>
        </w:rPr>
        <w:t>/WaterVal</w:t>
      </w:r>
      <w:r w:rsidR="00994D8A" w:rsidRPr="00B95125">
        <w:rPr>
          <w:rFonts w:ascii="Arial" w:hAnsi="Arial" w:cs="Arial"/>
        </w:rPr>
        <w:t xml:space="preserve"> project is referenced. The old Table</w:t>
      </w:r>
      <w:r w:rsidR="00086632">
        <w:rPr>
          <w:rFonts w:ascii="Arial" w:hAnsi="Arial" w:cs="Arial"/>
        </w:rPr>
        <w:t xml:space="preserve"> 3.4</w:t>
      </w:r>
      <w:r w:rsidR="00994D8A" w:rsidRPr="00B95125">
        <w:rPr>
          <w:rFonts w:ascii="Arial" w:hAnsi="Arial" w:cs="Arial"/>
        </w:rPr>
        <w:t xml:space="preserve"> included very broad ranges </w:t>
      </w:r>
      <w:r w:rsidR="00581E54" w:rsidRPr="00B95125">
        <w:rPr>
          <w:rFonts w:ascii="Arial" w:hAnsi="Arial" w:cs="Arial"/>
        </w:rPr>
        <w:t xml:space="preserve">of microbial log removals </w:t>
      </w:r>
      <w:r w:rsidR="00994D8A" w:rsidRPr="00B95125">
        <w:rPr>
          <w:rFonts w:ascii="Arial" w:hAnsi="Arial" w:cs="Arial"/>
        </w:rPr>
        <w:t>which w</w:t>
      </w:r>
      <w:r w:rsidR="00086632">
        <w:rPr>
          <w:rFonts w:ascii="Arial" w:hAnsi="Arial" w:cs="Arial"/>
        </w:rPr>
        <w:t>ere</w:t>
      </w:r>
      <w:r w:rsidR="00994D8A" w:rsidRPr="00B95125">
        <w:rPr>
          <w:rFonts w:ascii="Arial" w:hAnsi="Arial" w:cs="Arial"/>
        </w:rPr>
        <w:t xml:space="preserve"> not particularly useful and w</w:t>
      </w:r>
      <w:r w:rsidR="00086632">
        <w:rPr>
          <w:rFonts w:ascii="Arial" w:hAnsi="Arial" w:cs="Arial"/>
        </w:rPr>
        <w:t>ere</w:t>
      </w:r>
      <w:r w:rsidR="00994D8A" w:rsidRPr="00B95125">
        <w:rPr>
          <w:rFonts w:ascii="Arial" w:hAnsi="Arial" w:cs="Arial"/>
        </w:rPr>
        <w:t xml:space="preserve"> </w:t>
      </w:r>
      <w:r w:rsidR="00315E00" w:rsidRPr="00B95125">
        <w:rPr>
          <w:rFonts w:ascii="Arial" w:hAnsi="Arial" w:cs="Arial"/>
        </w:rPr>
        <w:t xml:space="preserve">frequently </w:t>
      </w:r>
      <w:r w:rsidR="00994D8A" w:rsidRPr="00B95125">
        <w:rPr>
          <w:rFonts w:ascii="Arial" w:hAnsi="Arial" w:cs="Arial"/>
        </w:rPr>
        <w:t>misused</w:t>
      </w:r>
      <w:r w:rsidR="00086632">
        <w:rPr>
          <w:rFonts w:ascii="Arial" w:hAnsi="Arial" w:cs="Arial"/>
        </w:rPr>
        <w:t>.</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3.6 </w:t>
      </w:r>
      <w:r w:rsidR="00D10B6D" w:rsidRPr="00B95125">
        <w:rPr>
          <w:rFonts w:ascii="Arial" w:hAnsi="Arial" w:cs="Arial"/>
        </w:rPr>
        <w:t xml:space="preserve">(Numbers of micro-organisms in raw sewage) </w:t>
      </w:r>
      <w:r w:rsidRPr="00B95125">
        <w:rPr>
          <w:rFonts w:ascii="Arial" w:hAnsi="Arial" w:cs="Arial"/>
        </w:rPr>
        <w:t xml:space="preserve">(now </w:t>
      </w:r>
      <w:r w:rsidR="00581E54" w:rsidRPr="00B95125">
        <w:rPr>
          <w:rFonts w:ascii="Arial" w:hAnsi="Arial" w:cs="Arial"/>
        </w:rPr>
        <w:t xml:space="preserve">Table </w:t>
      </w:r>
      <w:r w:rsidRPr="00B95125">
        <w:rPr>
          <w:rFonts w:ascii="Arial" w:hAnsi="Arial" w:cs="Arial"/>
        </w:rPr>
        <w:t>3.5) has been updated</w:t>
      </w:r>
      <w:r w:rsidR="00994D8A" w:rsidRPr="00B95125">
        <w:rPr>
          <w:rFonts w:ascii="Arial" w:hAnsi="Arial" w:cs="Arial"/>
        </w:rPr>
        <w:t xml:space="preserve"> using more recent data from Navarro and Jim</w:t>
      </w:r>
      <w:r w:rsidR="00685F88">
        <w:rPr>
          <w:rFonts w:ascii="Arial" w:hAnsi="Arial" w:cs="Arial"/>
        </w:rPr>
        <w:t>e</w:t>
      </w:r>
      <w:r w:rsidR="00D94808" w:rsidRPr="00B95125">
        <w:rPr>
          <w:rFonts w:ascii="Arial" w:hAnsi="Arial" w:cs="Arial"/>
        </w:rPr>
        <w:t>n</w:t>
      </w:r>
      <w:r w:rsidR="00994D8A" w:rsidRPr="00B95125">
        <w:rPr>
          <w:rFonts w:ascii="Arial" w:hAnsi="Arial" w:cs="Arial"/>
        </w:rPr>
        <w:t xml:space="preserve">ez </w:t>
      </w:r>
      <w:r w:rsidR="00685F88">
        <w:rPr>
          <w:rFonts w:ascii="Arial" w:hAnsi="Arial" w:cs="Arial"/>
        </w:rPr>
        <w:t>(</w:t>
      </w:r>
      <w:r w:rsidR="00994D8A" w:rsidRPr="00B95125">
        <w:rPr>
          <w:rFonts w:ascii="Arial" w:hAnsi="Arial" w:cs="Arial"/>
        </w:rPr>
        <w:t>2011</w:t>
      </w:r>
      <w:r w:rsidR="00685F88">
        <w:rPr>
          <w:rFonts w:ascii="Arial" w:hAnsi="Arial" w:cs="Arial"/>
        </w:rPr>
        <w:t>)</w:t>
      </w:r>
      <w:r w:rsidR="00994D8A" w:rsidRPr="00B95125">
        <w:rPr>
          <w:rFonts w:ascii="Arial" w:hAnsi="Arial" w:cs="Arial"/>
        </w:rPr>
        <w:t xml:space="preserve">, Soller et al (2015) and Deere and Khan (2016). </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3.7 </w:t>
      </w:r>
      <w:r w:rsidR="00D10B6D" w:rsidRPr="00B95125">
        <w:rPr>
          <w:rFonts w:ascii="Arial" w:hAnsi="Arial" w:cs="Arial"/>
        </w:rPr>
        <w:t xml:space="preserve">(Log reductions for priority uses of recycled water from treated sewage) </w:t>
      </w:r>
      <w:r w:rsidRPr="00B95125">
        <w:rPr>
          <w:rFonts w:ascii="Arial" w:hAnsi="Arial" w:cs="Arial"/>
        </w:rPr>
        <w:t>has been updated based on changes to HBT calculations and expanded slightly</w:t>
      </w:r>
      <w:r w:rsidR="00994D8A" w:rsidRPr="00B95125">
        <w:rPr>
          <w:rFonts w:ascii="Arial" w:hAnsi="Arial" w:cs="Arial"/>
        </w:rPr>
        <w:t xml:space="preserve"> to include additional end-uses. The virus LRVs </w:t>
      </w:r>
      <w:r w:rsidR="00811734" w:rsidRPr="00B95125">
        <w:rPr>
          <w:rFonts w:ascii="Arial" w:hAnsi="Arial" w:cs="Arial"/>
        </w:rPr>
        <w:t xml:space="preserve">have been reduced marginally (0.2 log) </w:t>
      </w:r>
      <w:r w:rsidR="00994D8A" w:rsidRPr="00B95125">
        <w:rPr>
          <w:rFonts w:ascii="Arial" w:hAnsi="Arial" w:cs="Arial"/>
        </w:rPr>
        <w:t xml:space="preserve">while those for </w:t>
      </w:r>
      <w:r w:rsidR="00994D8A" w:rsidRPr="00B95125">
        <w:rPr>
          <w:rFonts w:ascii="Arial" w:hAnsi="Arial" w:cs="Arial"/>
          <w:i/>
        </w:rPr>
        <w:t>Crypto</w:t>
      </w:r>
      <w:r w:rsidR="00D94808" w:rsidRPr="00B95125">
        <w:rPr>
          <w:rFonts w:ascii="Arial" w:hAnsi="Arial" w:cs="Arial"/>
          <w:i/>
        </w:rPr>
        <w:t>s</w:t>
      </w:r>
      <w:r w:rsidR="00994D8A" w:rsidRPr="00B95125">
        <w:rPr>
          <w:rFonts w:ascii="Arial" w:hAnsi="Arial" w:cs="Arial"/>
          <w:i/>
        </w:rPr>
        <w:t>poridium</w:t>
      </w:r>
      <w:r w:rsidR="00994D8A" w:rsidRPr="00B95125">
        <w:rPr>
          <w:rFonts w:ascii="Arial" w:hAnsi="Arial" w:cs="Arial"/>
        </w:rPr>
        <w:t xml:space="preserve"> and </w:t>
      </w:r>
      <w:r w:rsidR="00994D8A" w:rsidRPr="00B95125">
        <w:rPr>
          <w:rFonts w:ascii="Arial" w:hAnsi="Arial" w:cs="Arial"/>
          <w:i/>
        </w:rPr>
        <w:t>Campylobacter</w:t>
      </w:r>
      <w:r w:rsidR="00994D8A" w:rsidRPr="00B95125">
        <w:rPr>
          <w:rFonts w:ascii="Arial" w:hAnsi="Arial" w:cs="Arial"/>
        </w:rPr>
        <w:t xml:space="preserve"> increase by </w:t>
      </w:r>
      <w:r w:rsidR="00666969" w:rsidRPr="00B95125">
        <w:rPr>
          <w:rFonts w:ascii="Arial" w:hAnsi="Arial" w:cs="Arial"/>
        </w:rPr>
        <w:t xml:space="preserve">0.6 log and </w:t>
      </w:r>
      <w:r w:rsidR="00994D8A" w:rsidRPr="00B95125">
        <w:rPr>
          <w:rFonts w:ascii="Arial" w:hAnsi="Arial" w:cs="Arial"/>
        </w:rPr>
        <w:t>0.7 log</w:t>
      </w:r>
      <w:r w:rsidR="00666969" w:rsidRPr="00B95125">
        <w:rPr>
          <w:rFonts w:ascii="Arial" w:hAnsi="Arial" w:cs="Arial"/>
        </w:rPr>
        <w:t xml:space="preserve"> respectively</w:t>
      </w:r>
      <w:r w:rsidR="00994D8A" w:rsidRPr="00B95125">
        <w:rPr>
          <w:rFonts w:ascii="Arial" w:hAnsi="Arial" w:cs="Arial"/>
        </w:rPr>
        <w:t xml:space="preserve">. </w:t>
      </w:r>
      <w:r w:rsidR="00BB2944" w:rsidRPr="00B95125">
        <w:rPr>
          <w:rFonts w:ascii="Arial" w:hAnsi="Arial" w:cs="Arial"/>
        </w:rPr>
        <w:t xml:space="preserve">Given that LRVs are rounded to </w:t>
      </w:r>
      <w:r w:rsidR="00E1114C" w:rsidRPr="00B95125">
        <w:rPr>
          <w:rFonts w:ascii="Arial" w:hAnsi="Arial" w:cs="Arial"/>
        </w:rPr>
        <w:t xml:space="preserve">the nearest </w:t>
      </w:r>
      <w:r w:rsidR="00BB2944" w:rsidRPr="00B95125">
        <w:rPr>
          <w:rFonts w:ascii="Arial" w:hAnsi="Arial" w:cs="Arial"/>
        </w:rPr>
        <w:t>0.5</w:t>
      </w:r>
      <w:r w:rsidR="00E1114C" w:rsidRPr="00B95125">
        <w:rPr>
          <w:rFonts w:ascii="Arial" w:hAnsi="Arial" w:cs="Arial"/>
        </w:rPr>
        <w:t xml:space="preserve"> </w:t>
      </w:r>
      <w:r w:rsidR="00BB2944" w:rsidRPr="00B95125">
        <w:rPr>
          <w:rFonts w:ascii="Arial" w:hAnsi="Arial" w:cs="Arial"/>
        </w:rPr>
        <w:t xml:space="preserve">log the nett impact is </w:t>
      </w:r>
      <w:r w:rsidR="00E1114C" w:rsidRPr="00B95125">
        <w:rPr>
          <w:rFonts w:ascii="Arial" w:hAnsi="Arial" w:cs="Arial"/>
        </w:rPr>
        <w:t xml:space="preserve">an </w:t>
      </w:r>
      <w:r w:rsidR="00BB2944" w:rsidRPr="00B95125">
        <w:rPr>
          <w:rFonts w:ascii="Arial" w:hAnsi="Arial" w:cs="Arial"/>
        </w:rPr>
        <w:t xml:space="preserve">increase </w:t>
      </w:r>
      <w:r w:rsidR="00E1114C" w:rsidRPr="00B95125">
        <w:rPr>
          <w:rFonts w:ascii="Arial" w:hAnsi="Arial" w:cs="Arial"/>
        </w:rPr>
        <w:t xml:space="preserve">in </w:t>
      </w:r>
      <w:r w:rsidR="00BB2944" w:rsidRPr="00B95125">
        <w:rPr>
          <w:rFonts w:ascii="Arial" w:hAnsi="Arial" w:cs="Arial"/>
        </w:rPr>
        <w:t xml:space="preserve">LRVs of 0.5 </w:t>
      </w:r>
      <w:r w:rsidR="00E1114C" w:rsidRPr="00B95125">
        <w:rPr>
          <w:rFonts w:ascii="Arial" w:hAnsi="Arial" w:cs="Arial"/>
        </w:rPr>
        <w:t xml:space="preserve">log </w:t>
      </w:r>
      <w:r w:rsidR="00BB2944" w:rsidRPr="00B95125">
        <w:rPr>
          <w:rFonts w:ascii="Arial" w:hAnsi="Arial" w:cs="Arial"/>
        </w:rPr>
        <w:t>for protozoa and bacteria</w:t>
      </w:r>
      <w:r w:rsidR="00883A78" w:rsidRPr="00B95125">
        <w:rPr>
          <w:rFonts w:ascii="Arial" w:hAnsi="Arial" w:cs="Arial"/>
        </w:rPr>
        <w:t xml:space="preserve"> and no change to the LRVs for viruses</w:t>
      </w:r>
      <w:r w:rsidR="001929EA">
        <w:rPr>
          <w:rFonts w:ascii="Arial" w:hAnsi="Arial" w:cs="Arial"/>
        </w:rPr>
        <w:t xml:space="preserve"> in the Phase 1 document</w:t>
      </w:r>
      <w:r w:rsidR="00BB2944" w:rsidRPr="00B95125">
        <w:rPr>
          <w:rFonts w:ascii="Arial" w:hAnsi="Arial" w:cs="Arial"/>
        </w:rPr>
        <w:t xml:space="preserve">. </w:t>
      </w:r>
      <w:r w:rsidR="00E1114C" w:rsidRPr="00B95125">
        <w:rPr>
          <w:rFonts w:ascii="Arial" w:hAnsi="Arial" w:cs="Arial"/>
        </w:rPr>
        <w:t>The principle causes of these increases is introduction of the new dose response for</w:t>
      </w:r>
      <w:r w:rsidR="00D94808" w:rsidRPr="00B95125">
        <w:rPr>
          <w:rFonts w:ascii="Arial" w:hAnsi="Arial" w:cs="Arial"/>
        </w:rPr>
        <w:t xml:space="preserve"> </w:t>
      </w:r>
      <w:r w:rsidR="00E1114C" w:rsidRPr="00B95125">
        <w:rPr>
          <w:rFonts w:ascii="Arial" w:hAnsi="Arial" w:cs="Arial"/>
          <w:i/>
        </w:rPr>
        <w:t xml:space="preserve">Cryptosporidium </w:t>
      </w:r>
      <w:r w:rsidR="00E1114C" w:rsidRPr="00B95125">
        <w:rPr>
          <w:rFonts w:ascii="Arial" w:hAnsi="Arial" w:cs="Arial"/>
        </w:rPr>
        <w:t>(r=0.2 increased from 0.059) and an increased disease burden per case of campylobacteriosis (0.024 DALY increased from 0.0046 DALY</w:t>
      </w:r>
      <w:r w:rsidR="00883A78" w:rsidRPr="00B95125">
        <w:rPr>
          <w:rFonts w:ascii="Arial" w:hAnsi="Arial" w:cs="Arial"/>
        </w:rPr>
        <w:t xml:space="preserve"> largely due to identification of irritable bowel syndrome as a potential sequela o</w:t>
      </w:r>
      <w:r w:rsidR="009D2FAA" w:rsidRPr="00B95125">
        <w:rPr>
          <w:rFonts w:ascii="Arial" w:hAnsi="Arial" w:cs="Arial"/>
        </w:rPr>
        <w:t>f</w:t>
      </w:r>
      <w:r w:rsidR="00883A78" w:rsidRPr="00B95125">
        <w:rPr>
          <w:rFonts w:ascii="Arial" w:hAnsi="Arial" w:cs="Arial"/>
        </w:rPr>
        <w:t xml:space="preserve"> campylobacteriosis).</w:t>
      </w:r>
      <w:r w:rsidR="00E1114C" w:rsidRPr="00B95125">
        <w:rPr>
          <w:rFonts w:ascii="Arial" w:hAnsi="Arial" w:cs="Arial"/>
        </w:rPr>
        <w:t xml:space="preserve">   </w:t>
      </w:r>
    </w:p>
    <w:p w:rsidR="00685ECB"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 xml:space="preserve">Table 3.8 </w:t>
      </w:r>
      <w:r w:rsidR="00883A78" w:rsidRPr="00B95125">
        <w:rPr>
          <w:rFonts w:ascii="Arial" w:hAnsi="Arial" w:cs="Arial"/>
        </w:rPr>
        <w:t xml:space="preserve">(Treatment processes and </w:t>
      </w:r>
      <w:r w:rsidR="009D2FAA" w:rsidRPr="00B95125">
        <w:rPr>
          <w:rFonts w:ascii="Arial" w:hAnsi="Arial" w:cs="Arial"/>
        </w:rPr>
        <w:t>on-site</w:t>
      </w:r>
      <w:r w:rsidR="00883A78" w:rsidRPr="00B95125">
        <w:rPr>
          <w:rFonts w:ascii="Arial" w:hAnsi="Arial" w:cs="Arial"/>
        </w:rPr>
        <w:t xml:space="preserve"> controls for designated uses of recycled water from treated sewage) </w:t>
      </w:r>
      <w:r w:rsidRPr="00B95125">
        <w:rPr>
          <w:rFonts w:ascii="Arial" w:hAnsi="Arial" w:cs="Arial"/>
        </w:rPr>
        <w:t xml:space="preserve">has been reformatted </w:t>
      </w:r>
      <w:r w:rsidR="00D94808" w:rsidRPr="00B95125">
        <w:rPr>
          <w:rFonts w:ascii="Arial" w:hAnsi="Arial" w:cs="Arial"/>
        </w:rPr>
        <w:t>and changes have been included in line with the changes in Table 3.</w:t>
      </w:r>
      <w:r w:rsidR="00883A78" w:rsidRPr="00B95125">
        <w:rPr>
          <w:rFonts w:ascii="Arial" w:hAnsi="Arial" w:cs="Arial"/>
        </w:rPr>
        <w:t>7</w:t>
      </w:r>
      <w:r w:rsidR="00D94808" w:rsidRPr="00B95125">
        <w:rPr>
          <w:rFonts w:ascii="Arial" w:hAnsi="Arial" w:cs="Arial"/>
        </w:rPr>
        <w:t xml:space="preserve">. </w:t>
      </w:r>
    </w:p>
    <w:p w:rsidR="00FB1BE2" w:rsidRPr="00B95125" w:rsidRDefault="00685ECB"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The text in 3.5.4 Chemical hazards has been shortened considerably</w:t>
      </w:r>
      <w:r w:rsidR="00883A78" w:rsidRPr="00B95125">
        <w:rPr>
          <w:rFonts w:ascii="Arial" w:hAnsi="Arial" w:cs="Arial"/>
        </w:rPr>
        <w:t xml:space="preserve"> with deleted text replaced by a cross-reference to the </w:t>
      </w:r>
      <w:r w:rsidRPr="00B95125">
        <w:rPr>
          <w:rFonts w:ascii="Arial" w:hAnsi="Arial" w:cs="Arial"/>
        </w:rPr>
        <w:t>module on drinking water augmentation for further details</w:t>
      </w:r>
      <w:r w:rsidR="00D94808" w:rsidRPr="00B95125">
        <w:rPr>
          <w:rFonts w:ascii="Arial" w:hAnsi="Arial" w:cs="Arial"/>
        </w:rPr>
        <w:t xml:space="preserve">. </w:t>
      </w:r>
      <w:r w:rsidR="00FB1BE2" w:rsidRPr="00B95125">
        <w:rPr>
          <w:rFonts w:ascii="Arial" w:hAnsi="Arial" w:cs="Arial"/>
        </w:rPr>
        <w:t>S</w:t>
      </w:r>
      <w:r w:rsidR="00D94808" w:rsidRPr="00B95125">
        <w:rPr>
          <w:rFonts w:ascii="Arial" w:hAnsi="Arial" w:cs="Arial"/>
        </w:rPr>
        <w:t xml:space="preserve">ection </w:t>
      </w:r>
      <w:r w:rsidR="00FB1BE2" w:rsidRPr="00B95125">
        <w:rPr>
          <w:rFonts w:ascii="Arial" w:hAnsi="Arial" w:cs="Arial"/>
        </w:rPr>
        <w:t>3.5.4 w</w:t>
      </w:r>
      <w:r w:rsidR="00D94808" w:rsidRPr="00B95125">
        <w:rPr>
          <w:rFonts w:ascii="Arial" w:hAnsi="Arial" w:cs="Arial"/>
        </w:rPr>
        <w:t>as written before the decision was taken to develop the drinking water augmentation</w:t>
      </w:r>
      <w:r w:rsidR="00883A78" w:rsidRPr="00B95125">
        <w:rPr>
          <w:rFonts w:ascii="Arial" w:hAnsi="Arial" w:cs="Arial"/>
        </w:rPr>
        <w:t xml:space="preserve"> module</w:t>
      </w:r>
      <w:r w:rsidR="00D94808" w:rsidRPr="00B95125">
        <w:rPr>
          <w:rFonts w:ascii="Arial" w:hAnsi="Arial" w:cs="Arial"/>
        </w:rPr>
        <w:t>.</w:t>
      </w:r>
      <w:r w:rsidR="00FB1BE2" w:rsidRPr="00B95125">
        <w:rPr>
          <w:rFonts w:ascii="Arial" w:hAnsi="Arial" w:cs="Arial"/>
        </w:rPr>
        <w:t xml:space="preserve"> Technical information </w:t>
      </w:r>
      <w:r w:rsidR="00883A78" w:rsidRPr="00B95125">
        <w:rPr>
          <w:rFonts w:ascii="Arial" w:hAnsi="Arial" w:cs="Arial"/>
        </w:rPr>
        <w:t xml:space="preserve">on chemical hazards </w:t>
      </w:r>
      <w:r w:rsidR="00FB1BE2" w:rsidRPr="00B95125">
        <w:rPr>
          <w:rFonts w:ascii="Arial" w:hAnsi="Arial" w:cs="Arial"/>
        </w:rPr>
        <w:t>is included in the later module where it is more relevant</w:t>
      </w:r>
      <w:r w:rsidR="00883A78" w:rsidRPr="00B95125">
        <w:rPr>
          <w:rFonts w:ascii="Arial" w:hAnsi="Arial" w:cs="Arial"/>
        </w:rPr>
        <w:t>.</w:t>
      </w:r>
    </w:p>
    <w:p w:rsidR="00685ECB" w:rsidRPr="00B95125" w:rsidRDefault="00FB1BE2" w:rsidP="00CA7638">
      <w:pPr>
        <w:pStyle w:val="ListParagraph"/>
        <w:numPr>
          <w:ilvl w:val="0"/>
          <w:numId w:val="6"/>
        </w:numPr>
        <w:spacing w:after="120"/>
        <w:ind w:left="426" w:hanging="426"/>
        <w:contextualSpacing w:val="0"/>
        <w:rPr>
          <w:rFonts w:ascii="Arial" w:hAnsi="Arial" w:cs="Arial"/>
        </w:rPr>
      </w:pPr>
      <w:r w:rsidRPr="00B95125">
        <w:rPr>
          <w:rFonts w:ascii="Arial" w:hAnsi="Arial" w:cs="Arial"/>
        </w:rPr>
        <w:t>A</w:t>
      </w:r>
      <w:r w:rsidR="00685ECB" w:rsidRPr="00B95125">
        <w:rPr>
          <w:rFonts w:ascii="Arial" w:hAnsi="Arial" w:cs="Arial"/>
        </w:rPr>
        <w:t>dditional text has been added on stormwater</w:t>
      </w:r>
      <w:r w:rsidRPr="00B95125">
        <w:rPr>
          <w:rFonts w:ascii="Arial" w:hAnsi="Arial" w:cs="Arial"/>
        </w:rPr>
        <w:t xml:space="preserve"> to improve balance of the text in dealing with the three main sources of recycled water. D</w:t>
      </w:r>
      <w:r w:rsidR="00685ECB" w:rsidRPr="00B95125">
        <w:rPr>
          <w:rFonts w:ascii="Arial" w:hAnsi="Arial" w:cs="Arial"/>
        </w:rPr>
        <w:t xml:space="preserve">iscussion of treated sewage and grey water (Section 3.7) has been integrated rather than discussing them in two separate sections. </w:t>
      </w:r>
      <w:r w:rsidR="0046237A">
        <w:rPr>
          <w:rFonts w:ascii="Arial" w:hAnsi="Arial" w:cs="Arial"/>
        </w:rPr>
        <w:t>For example Table 3.10 which was in Section 3.7 is now Table 3.6 in Section 3.4.2.</w:t>
      </w:r>
      <w:r w:rsidR="00685ECB" w:rsidRPr="00B95125">
        <w:rPr>
          <w:rFonts w:ascii="Arial" w:hAnsi="Arial" w:cs="Arial"/>
        </w:rPr>
        <w:t xml:space="preserve"> </w:t>
      </w:r>
    </w:p>
    <w:p w:rsidR="00491F23" w:rsidRPr="00B95125" w:rsidRDefault="00491F23">
      <w:pPr>
        <w:rPr>
          <w:rFonts w:ascii="Arial" w:hAnsi="Arial" w:cs="Arial"/>
        </w:rPr>
      </w:pPr>
    </w:p>
    <w:p w:rsidR="000A6AEB" w:rsidRPr="00B95125" w:rsidRDefault="000A6AEB" w:rsidP="00CA7638">
      <w:pPr>
        <w:pStyle w:val="ListParagraph"/>
        <w:numPr>
          <w:ilvl w:val="1"/>
          <w:numId w:val="3"/>
        </w:numPr>
        <w:spacing w:after="120"/>
        <w:ind w:left="426" w:hanging="426"/>
        <w:contextualSpacing w:val="0"/>
        <w:rPr>
          <w:rFonts w:ascii="Arial" w:hAnsi="Arial" w:cs="Arial"/>
          <w:b/>
        </w:rPr>
      </w:pPr>
      <w:r w:rsidRPr="00B95125">
        <w:rPr>
          <w:rFonts w:ascii="Arial" w:hAnsi="Arial" w:cs="Arial"/>
          <w:b/>
        </w:rPr>
        <w:t>Chapter 5</w:t>
      </w:r>
      <w:r w:rsidR="00883A78" w:rsidRPr="00B95125">
        <w:rPr>
          <w:rFonts w:ascii="Arial" w:hAnsi="Arial" w:cs="Arial"/>
          <w:b/>
        </w:rPr>
        <w:t xml:space="preserve"> Monitoring</w:t>
      </w:r>
    </w:p>
    <w:p w:rsidR="000A6AEB" w:rsidRPr="00B95125" w:rsidRDefault="000A6AEB" w:rsidP="00CA7638">
      <w:pPr>
        <w:pStyle w:val="ListParagraph"/>
        <w:numPr>
          <w:ilvl w:val="0"/>
          <w:numId w:val="7"/>
        </w:numPr>
        <w:spacing w:after="120"/>
        <w:ind w:left="426" w:hanging="426"/>
        <w:contextualSpacing w:val="0"/>
        <w:rPr>
          <w:rFonts w:ascii="Arial" w:hAnsi="Arial" w:cs="Arial"/>
        </w:rPr>
      </w:pPr>
      <w:r w:rsidRPr="00B95125">
        <w:rPr>
          <w:rFonts w:ascii="Arial" w:hAnsi="Arial" w:cs="Arial"/>
        </w:rPr>
        <w:t xml:space="preserve">The discussion of validation has been modified in-line with changes to Chapter 2.  Table 5.2 </w:t>
      </w:r>
      <w:r w:rsidR="009D2FAA" w:rsidRPr="00B95125">
        <w:rPr>
          <w:rFonts w:ascii="Arial" w:hAnsi="Arial" w:cs="Arial"/>
        </w:rPr>
        <w:t xml:space="preserve">(Examples of validation monitoring for health risks) </w:t>
      </w:r>
      <w:r w:rsidRPr="00B95125">
        <w:rPr>
          <w:rFonts w:ascii="Arial" w:hAnsi="Arial" w:cs="Arial"/>
        </w:rPr>
        <w:t>has been deleted and replaced with a Table listing components of a validation protocol</w:t>
      </w:r>
      <w:r w:rsidR="00FB1BE2" w:rsidRPr="00B95125">
        <w:rPr>
          <w:rFonts w:ascii="Arial" w:hAnsi="Arial" w:cs="Arial"/>
        </w:rPr>
        <w:t xml:space="preserve"> (based on the Victorian and NatVal/WaterVal Frameworks)</w:t>
      </w:r>
      <w:r w:rsidRPr="00B95125">
        <w:rPr>
          <w:rFonts w:ascii="Arial" w:hAnsi="Arial" w:cs="Arial"/>
        </w:rPr>
        <w:t>.</w:t>
      </w:r>
    </w:p>
    <w:p w:rsidR="000A6AEB" w:rsidRPr="00B95125" w:rsidRDefault="000A6AEB" w:rsidP="00CA7638">
      <w:pPr>
        <w:pStyle w:val="ListParagraph"/>
        <w:numPr>
          <w:ilvl w:val="0"/>
          <w:numId w:val="7"/>
        </w:numPr>
        <w:spacing w:after="120"/>
        <w:ind w:left="426" w:hanging="426"/>
        <w:contextualSpacing w:val="0"/>
        <w:rPr>
          <w:rFonts w:ascii="Arial" w:hAnsi="Arial" w:cs="Arial"/>
        </w:rPr>
      </w:pPr>
      <w:r w:rsidRPr="00B95125">
        <w:rPr>
          <w:rFonts w:ascii="Arial" w:hAnsi="Arial" w:cs="Arial"/>
        </w:rPr>
        <w:t xml:space="preserve">Table 5.3 </w:t>
      </w:r>
      <w:r w:rsidR="009D2FAA" w:rsidRPr="00B95125">
        <w:rPr>
          <w:rFonts w:ascii="Arial" w:hAnsi="Arial" w:cs="Arial"/>
        </w:rPr>
        <w:t xml:space="preserve">(Microbial indicators) </w:t>
      </w:r>
      <w:r w:rsidRPr="00B95125">
        <w:rPr>
          <w:rFonts w:ascii="Arial" w:hAnsi="Arial" w:cs="Arial"/>
        </w:rPr>
        <w:t xml:space="preserve">has been deleted (too </w:t>
      </w:r>
      <w:r w:rsidR="00FB1BE2" w:rsidRPr="00B95125">
        <w:rPr>
          <w:rFonts w:ascii="Arial" w:hAnsi="Arial" w:cs="Arial"/>
        </w:rPr>
        <w:t xml:space="preserve">much </w:t>
      </w:r>
      <w:r w:rsidR="00D56E83" w:rsidRPr="00B95125">
        <w:rPr>
          <w:rFonts w:ascii="Arial" w:hAnsi="Arial" w:cs="Arial"/>
        </w:rPr>
        <w:t xml:space="preserve">unnecessary </w:t>
      </w:r>
      <w:r w:rsidRPr="00B95125">
        <w:rPr>
          <w:rFonts w:ascii="Arial" w:hAnsi="Arial" w:cs="Arial"/>
        </w:rPr>
        <w:t>detail</w:t>
      </w:r>
      <w:r w:rsidR="00D56E83" w:rsidRPr="00B95125">
        <w:rPr>
          <w:rFonts w:ascii="Arial" w:hAnsi="Arial" w:cs="Arial"/>
        </w:rPr>
        <w:t>)</w:t>
      </w:r>
      <w:r w:rsidR="00086632">
        <w:rPr>
          <w:rFonts w:ascii="Arial" w:hAnsi="Arial" w:cs="Arial"/>
        </w:rPr>
        <w:t>.</w:t>
      </w:r>
    </w:p>
    <w:p w:rsidR="000A6AEB" w:rsidRPr="00B95125" w:rsidRDefault="000A6AEB" w:rsidP="009D2FAA">
      <w:pPr>
        <w:pStyle w:val="ListParagraph"/>
        <w:numPr>
          <w:ilvl w:val="0"/>
          <w:numId w:val="7"/>
        </w:numPr>
        <w:spacing w:after="120"/>
        <w:ind w:left="426" w:hanging="426"/>
        <w:contextualSpacing w:val="0"/>
        <w:rPr>
          <w:rFonts w:ascii="Arial" w:hAnsi="Arial" w:cs="Arial"/>
        </w:rPr>
      </w:pPr>
      <w:r w:rsidRPr="00B95125">
        <w:rPr>
          <w:rFonts w:ascii="Arial" w:hAnsi="Arial" w:cs="Arial"/>
        </w:rPr>
        <w:t xml:space="preserve">Table 5.4 </w:t>
      </w:r>
      <w:r w:rsidR="009D2FAA" w:rsidRPr="00B95125">
        <w:rPr>
          <w:rFonts w:ascii="Arial" w:hAnsi="Arial" w:cs="Arial"/>
        </w:rPr>
        <w:t xml:space="preserve">(Examples of operational monitoring and supporting programs for health risks) </w:t>
      </w:r>
      <w:r w:rsidRPr="00B95125">
        <w:rPr>
          <w:rFonts w:ascii="Arial" w:hAnsi="Arial" w:cs="Arial"/>
        </w:rPr>
        <w:t xml:space="preserve">has been replaced with a new Table 5.3 </w:t>
      </w:r>
      <w:r w:rsidR="009D2FAA" w:rsidRPr="00B95125">
        <w:rPr>
          <w:rFonts w:ascii="Arial" w:hAnsi="Arial" w:cs="Arial"/>
        </w:rPr>
        <w:t xml:space="preserve">(Examples of operational monitoring parameters for pathogen removal by indicative treatment processes) </w:t>
      </w:r>
      <w:r w:rsidRPr="00B95125">
        <w:rPr>
          <w:rFonts w:ascii="Arial" w:hAnsi="Arial" w:cs="Arial"/>
        </w:rPr>
        <w:t>that aligns more closely with Table 3.3</w:t>
      </w:r>
      <w:r w:rsidR="009D2FAA" w:rsidRPr="00B95125">
        <w:rPr>
          <w:rFonts w:ascii="Arial" w:hAnsi="Arial" w:cs="Arial"/>
        </w:rPr>
        <w:t xml:space="preserve"> (Indicative pathogen LRV potentially attributable to treatment barriers).</w:t>
      </w:r>
      <w:r w:rsidRPr="00B95125">
        <w:rPr>
          <w:rFonts w:ascii="Arial" w:hAnsi="Arial" w:cs="Arial"/>
        </w:rPr>
        <w:t xml:space="preserve"> </w:t>
      </w:r>
    </w:p>
    <w:p w:rsidR="000A6AEB" w:rsidRDefault="000A6AEB" w:rsidP="00CA7638">
      <w:pPr>
        <w:pStyle w:val="ListParagraph"/>
        <w:numPr>
          <w:ilvl w:val="0"/>
          <w:numId w:val="7"/>
        </w:numPr>
        <w:spacing w:after="120"/>
        <w:ind w:left="426" w:hanging="426"/>
        <w:contextualSpacing w:val="0"/>
        <w:rPr>
          <w:rFonts w:ascii="Arial" w:hAnsi="Arial" w:cs="Arial"/>
        </w:rPr>
      </w:pPr>
      <w:r w:rsidRPr="00B95125">
        <w:rPr>
          <w:rFonts w:ascii="Arial" w:hAnsi="Arial" w:cs="Arial"/>
        </w:rPr>
        <w:lastRenderedPageBreak/>
        <w:t xml:space="preserve">Tables 5.5 </w:t>
      </w:r>
      <w:r w:rsidR="00550208" w:rsidRPr="00B95125">
        <w:rPr>
          <w:rFonts w:ascii="Arial" w:hAnsi="Arial" w:cs="Arial"/>
        </w:rPr>
        <w:t xml:space="preserve">(Examples of verification monitoring) </w:t>
      </w:r>
      <w:r w:rsidRPr="00B95125">
        <w:rPr>
          <w:rFonts w:ascii="Arial" w:hAnsi="Arial" w:cs="Arial"/>
        </w:rPr>
        <w:t>and 5.6</w:t>
      </w:r>
      <w:r w:rsidR="00550208" w:rsidRPr="00B95125">
        <w:rPr>
          <w:rFonts w:ascii="Arial" w:hAnsi="Arial" w:cs="Arial"/>
        </w:rPr>
        <w:t xml:space="preserve"> (Typical sampling program for operational monitoring of health protection barriers and verification of health water quality targets) </w:t>
      </w:r>
      <w:r w:rsidRPr="00B95125">
        <w:rPr>
          <w:rFonts w:ascii="Arial" w:hAnsi="Arial" w:cs="Arial"/>
        </w:rPr>
        <w:t xml:space="preserve">have been deleted and replaced with shorter discussions in the text. </w:t>
      </w:r>
      <w:r w:rsidR="00D56E83" w:rsidRPr="00B95125">
        <w:rPr>
          <w:rFonts w:ascii="Arial" w:hAnsi="Arial" w:cs="Arial"/>
        </w:rPr>
        <w:t xml:space="preserve">Table 5.5 is </w:t>
      </w:r>
      <w:r w:rsidR="00550208" w:rsidRPr="00B95125">
        <w:rPr>
          <w:rFonts w:ascii="Arial" w:hAnsi="Arial" w:cs="Arial"/>
        </w:rPr>
        <w:t xml:space="preserve">considered to be </w:t>
      </w:r>
      <w:r w:rsidR="00D56E83" w:rsidRPr="00B95125">
        <w:rPr>
          <w:rFonts w:ascii="Arial" w:hAnsi="Arial" w:cs="Arial"/>
        </w:rPr>
        <w:t xml:space="preserve">too detailed and </w:t>
      </w:r>
      <w:r w:rsidRPr="00B95125">
        <w:rPr>
          <w:rFonts w:ascii="Arial" w:hAnsi="Arial" w:cs="Arial"/>
        </w:rPr>
        <w:t xml:space="preserve">Table 5.6 </w:t>
      </w:r>
      <w:r w:rsidR="00D56E83" w:rsidRPr="00B95125">
        <w:rPr>
          <w:rFonts w:ascii="Arial" w:hAnsi="Arial" w:cs="Arial"/>
        </w:rPr>
        <w:t>is</w:t>
      </w:r>
      <w:r w:rsidRPr="00B95125">
        <w:rPr>
          <w:rFonts w:ascii="Arial" w:hAnsi="Arial" w:cs="Arial"/>
        </w:rPr>
        <w:t xml:space="preserve"> too prescriptive</w:t>
      </w:r>
      <w:r w:rsidR="00086632">
        <w:rPr>
          <w:rFonts w:ascii="Arial" w:hAnsi="Arial" w:cs="Arial"/>
        </w:rPr>
        <w:t>.</w:t>
      </w:r>
    </w:p>
    <w:p w:rsidR="0046237A" w:rsidRPr="00B95125" w:rsidRDefault="0046237A" w:rsidP="00CA7638">
      <w:pPr>
        <w:pStyle w:val="ListParagraph"/>
        <w:numPr>
          <w:ilvl w:val="0"/>
          <w:numId w:val="7"/>
        </w:numPr>
        <w:spacing w:after="120"/>
        <w:ind w:left="426" w:hanging="426"/>
        <w:contextualSpacing w:val="0"/>
        <w:rPr>
          <w:rFonts w:ascii="Arial" w:hAnsi="Arial" w:cs="Arial"/>
        </w:rPr>
      </w:pPr>
      <w:r>
        <w:rPr>
          <w:rFonts w:ascii="Arial" w:hAnsi="Arial" w:cs="Arial"/>
        </w:rPr>
        <w:t>There have been no changes to Section</w:t>
      </w:r>
      <w:r w:rsidR="00FD5426">
        <w:rPr>
          <w:rFonts w:ascii="Arial" w:hAnsi="Arial" w:cs="Arial"/>
        </w:rPr>
        <w:t>s</w:t>
      </w:r>
      <w:r>
        <w:rPr>
          <w:rFonts w:ascii="Arial" w:hAnsi="Arial" w:cs="Arial"/>
        </w:rPr>
        <w:t xml:space="preserve"> 5.4 (</w:t>
      </w:r>
      <w:r w:rsidRPr="0046237A">
        <w:rPr>
          <w:rFonts w:ascii="Arial" w:hAnsi="Arial" w:cs="Arial"/>
        </w:rPr>
        <w:t>Monitoring of management of environmental risks</w:t>
      </w:r>
      <w:r>
        <w:rPr>
          <w:rFonts w:ascii="Arial" w:hAnsi="Arial" w:cs="Arial"/>
        </w:rPr>
        <w:t>)</w:t>
      </w:r>
      <w:r w:rsidR="00FD5426">
        <w:rPr>
          <w:rFonts w:ascii="Arial" w:hAnsi="Arial" w:cs="Arial"/>
        </w:rPr>
        <w:t xml:space="preserve"> or Sections 5.5 to 5.9</w:t>
      </w:r>
    </w:p>
    <w:p w:rsidR="000A6AEB" w:rsidRPr="00B95125" w:rsidRDefault="000A6AEB" w:rsidP="00CA7638">
      <w:pPr>
        <w:pStyle w:val="ListParagraph"/>
        <w:numPr>
          <w:ilvl w:val="1"/>
          <w:numId w:val="3"/>
        </w:numPr>
        <w:spacing w:after="120"/>
        <w:ind w:left="426" w:hanging="426"/>
        <w:contextualSpacing w:val="0"/>
        <w:rPr>
          <w:rFonts w:ascii="Arial" w:hAnsi="Arial" w:cs="Arial"/>
          <w:b/>
        </w:rPr>
      </w:pPr>
      <w:r w:rsidRPr="00B95125">
        <w:rPr>
          <w:rFonts w:ascii="Arial" w:hAnsi="Arial" w:cs="Arial"/>
          <w:b/>
        </w:rPr>
        <w:t>Appendix 2</w:t>
      </w:r>
    </w:p>
    <w:p w:rsidR="000A6AEB" w:rsidRPr="00B95125" w:rsidRDefault="000A6AEB" w:rsidP="00CA7638">
      <w:pPr>
        <w:pStyle w:val="ListParagraph"/>
        <w:numPr>
          <w:ilvl w:val="0"/>
          <w:numId w:val="8"/>
        </w:numPr>
        <w:spacing w:after="120"/>
        <w:ind w:left="425" w:hanging="425"/>
        <w:contextualSpacing w:val="0"/>
        <w:rPr>
          <w:rFonts w:ascii="Arial" w:hAnsi="Arial" w:cs="Arial"/>
        </w:rPr>
      </w:pPr>
      <w:r w:rsidRPr="00B95125">
        <w:rPr>
          <w:rFonts w:ascii="Arial" w:hAnsi="Arial" w:cs="Arial"/>
        </w:rPr>
        <w:t>Has been updated in line with changes to Chapter 3.</w:t>
      </w:r>
    </w:p>
    <w:p w:rsidR="000A6AEB" w:rsidRPr="00B95125" w:rsidRDefault="000A6AEB" w:rsidP="00CA7638">
      <w:pPr>
        <w:pStyle w:val="ListParagraph"/>
        <w:numPr>
          <w:ilvl w:val="1"/>
          <w:numId w:val="3"/>
        </w:numPr>
        <w:spacing w:after="120"/>
        <w:ind w:left="425" w:hanging="425"/>
        <w:contextualSpacing w:val="0"/>
        <w:rPr>
          <w:rFonts w:ascii="Arial" w:hAnsi="Arial" w:cs="Arial"/>
          <w:b/>
        </w:rPr>
      </w:pPr>
      <w:r w:rsidRPr="00B95125">
        <w:rPr>
          <w:rFonts w:ascii="Arial" w:hAnsi="Arial" w:cs="Arial"/>
          <w:b/>
        </w:rPr>
        <w:t>Appendix 3</w:t>
      </w:r>
    </w:p>
    <w:p w:rsidR="000A6AEB" w:rsidRPr="00B95125" w:rsidRDefault="000A6AEB" w:rsidP="00CA7638">
      <w:pPr>
        <w:pStyle w:val="ListParagraph"/>
        <w:numPr>
          <w:ilvl w:val="0"/>
          <w:numId w:val="8"/>
        </w:numPr>
        <w:spacing w:after="240"/>
        <w:ind w:left="425" w:hanging="425"/>
        <w:contextualSpacing w:val="0"/>
        <w:rPr>
          <w:rFonts w:ascii="Arial" w:hAnsi="Arial" w:cs="Arial"/>
        </w:rPr>
      </w:pPr>
      <w:r w:rsidRPr="00B95125">
        <w:rPr>
          <w:rFonts w:ascii="Arial" w:hAnsi="Arial" w:cs="Arial"/>
        </w:rPr>
        <w:t>Has been expanded to include detailed information from Chapter 2 (as above)</w:t>
      </w:r>
      <w:r w:rsidR="00086632">
        <w:rPr>
          <w:rFonts w:ascii="Arial" w:hAnsi="Arial" w:cs="Arial"/>
        </w:rPr>
        <w:t>.</w:t>
      </w:r>
    </w:p>
    <w:p w:rsidR="0057093D" w:rsidRPr="00B95125" w:rsidRDefault="00CA7638" w:rsidP="00086632">
      <w:pPr>
        <w:pStyle w:val="ListParagraph"/>
        <w:keepNext/>
        <w:numPr>
          <w:ilvl w:val="0"/>
          <w:numId w:val="3"/>
        </w:numPr>
        <w:spacing w:after="120"/>
        <w:ind w:left="426" w:hanging="426"/>
        <w:rPr>
          <w:rFonts w:ascii="Arial" w:hAnsi="Arial" w:cs="Arial"/>
          <w:b/>
        </w:rPr>
      </w:pPr>
      <w:r w:rsidRPr="00B95125">
        <w:rPr>
          <w:rFonts w:ascii="Arial" w:hAnsi="Arial" w:cs="Arial"/>
          <w:b/>
        </w:rPr>
        <w:t>IMPLICATIONS OF THE REVISIONS</w:t>
      </w:r>
    </w:p>
    <w:p w:rsidR="0057093D" w:rsidRPr="00B95125" w:rsidRDefault="0057093D" w:rsidP="00086632">
      <w:pPr>
        <w:pStyle w:val="ListParagraph"/>
        <w:keepNext/>
        <w:spacing w:after="120"/>
        <w:ind w:left="426" w:hanging="426"/>
        <w:rPr>
          <w:rFonts w:ascii="Arial" w:hAnsi="Arial" w:cs="Arial"/>
          <w:b/>
        </w:rPr>
      </w:pPr>
    </w:p>
    <w:p w:rsidR="0057093D" w:rsidRPr="00B95125" w:rsidRDefault="0057093D" w:rsidP="00086632">
      <w:pPr>
        <w:pStyle w:val="ListParagraph"/>
        <w:keepNext/>
        <w:numPr>
          <w:ilvl w:val="1"/>
          <w:numId w:val="3"/>
        </w:numPr>
        <w:spacing w:after="120"/>
        <w:ind w:left="426" w:hanging="426"/>
        <w:rPr>
          <w:rFonts w:ascii="Arial" w:hAnsi="Arial" w:cs="Arial"/>
          <w:b/>
        </w:rPr>
      </w:pPr>
      <w:r w:rsidRPr="00B95125">
        <w:rPr>
          <w:rFonts w:ascii="Arial" w:hAnsi="Arial" w:cs="Arial"/>
          <w:b/>
        </w:rPr>
        <w:t>Benefits</w:t>
      </w:r>
    </w:p>
    <w:p w:rsidR="00124D1C" w:rsidRDefault="001E713B" w:rsidP="00086632">
      <w:pPr>
        <w:keepNext/>
        <w:spacing w:after="120"/>
        <w:rPr>
          <w:rFonts w:ascii="Arial" w:hAnsi="Arial" w:cs="Arial"/>
        </w:rPr>
      </w:pPr>
      <w:r w:rsidRPr="00B95125">
        <w:rPr>
          <w:rFonts w:ascii="Arial" w:hAnsi="Arial" w:cs="Arial"/>
        </w:rPr>
        <w:t>The Phase 1 document will be consistent with related guideline documents including the GDWQ</w:t>
      </w:r>
      <w:r w:rsidR="00124D1C">
        <w:rPr>
          <w:rFonts w:ascii="Arial" w:hAnsi="Arial" w:cs="Arial"/>
        </w:rPr>
        <w:t>, the WHO text</w:t>
      </w:r>
      <w:r w:rsidR="00124D1C" w:rsidRPr="00B95125">
        <w:rPr>
          <w:rFonts w:ascii="Arial" w:hAnsi="Arial" w:cs="Arial"/>
        </w:rPr>
        <w:t xml:space="preserve"> </w:t>
      </w:r>
      <w:r w:rsidR="00124D1C" w:rsidRPr="00B95125">
        <w:rPr>
          <w:rFonts w:ascii="Arial" w:hAnsi="Arial" w:cs="Arial"/>
          <w:i/>
        </w:rPr>
        <w:t>Potable Reuse: Guidance for Producing Safe Drinking-water</w:t>
      </w:r>
      <w:r w:rsidR="00124D1C" w:rsidRPr="00B95125">
        <w:rPr>
          <w:rFonts w:ascii="Arial" w:hAnsi="Arial" w:cs="Arial"/>
        </w:rPr>
        <w:t xml:space="preserve"> </w:t>
      </w:r>
      <w:r w:rsidR="00124D1C">
        <w:rPr>
          <w:rFonts w:ascii="Arial" w:hAnsi="Arial" w:cs="Arial"/>
        </w:rPr>
        <w:t xml:space="preserve">and </w:t>
      </w:r>
      <w:r w:rsidRPr="00B95125">
        <w:rPr>
          <w:rFonts w:ascii="Arial" w:hAnsi="Arial" w:cs="Arial"/>
        </w:rPr>
        <w:t>the ADWG</w:t>
      </w:r>
      <w:r w:rsidR="00D81C1A">
        <w:rPr>
          <w:rFonts w:ascii="Arial" w:hAnsi="Arial" w:cs="Arial"/>
        </w:rPr>
        <w:t>,</w:t>
      </w:r>
      <w:r w:rsidRPr="00B95125">
        <w:rPr>
          <w:rFonts w:ascii="Arial" w:hAnsi="Arial" w:cs="Arial"/>
        </w:rPr>
        <w:t xml:space="preserve"> if the proposal to introduce HBTs is endorsed. </w:t>
      </w:r>
      <w:r w:rsidR="00124D1C">
        <w:rPr>
          <w:rFonts w:ascii="Arial" w:hAnsi="Arial" w:cs="Arial"/>
        </w:rPr>
        <w:t>I</w:t>
      </w:r>
      <w:r w:rsidRPr="00B95125">
        <w:rPr>
          <w:rFonts w:ascii="Arial" w:hAnsi="Arial" w:cs="Arial"/>
        </w:rPr>
        <w:t xml:space="preserve">t is expected that the WHO </w:t>
      </w:r>
      <w:r w:rsidRPr="00B95125">
        <w:rPr>
          <w:rFonts w:ascii="Arial" w:hAnsi="Arial" w:cs="Arial"/>
          <w:i/>
        </w:rPr>
        <w:t>Guidelines for Safe Use of Wastewater, Greywater and Excreta</w:t>
      </w:r>
      <w:r w:rsidRPr="00B95125">
        <w:rPr>
          <w:rFonts w:ascii="Arial" w:hAnsi="Arial" w:cs="Arial"/>
        </w:rPr>
        <w:t xml:space="preserve"> will be updated </w:t>
      </w:r>
      <w:r w:rsidR="00883A78" w:rsidRPr="00B95125">
        <w:rPr>
          <w:rFonts w:ascii="Arial" w:hAnsi="Arial" w:cs="Arial"/>
        </w:rPr>
        <w:t xml:space="preserve">and </w:t>
      </w:r>
      <w:r w:rsidRPr="00B95125">
        <w:rPr>
          <w:rFonts w:ascii="Arial" w:hAnsi="Arial" w:cs="Arial"/>
        </w:rPr>
        <w:t xml:space="preserve">changes to calculations underpinning HBTs </w:t>
      </w:r>
      <w:r w:rsidR="00883A78" w:rsidRPr="00B95125">
        <w:rPr>
          <w:rFonts w:ascii="Arial" w:hAnsi="Arial" w:cs="Arial"/>
        </w:rPr>
        <w:t xml:space="preserve">are </w:t>
      </w:r>
      <w:r w:rsidRPr="00B95125">
        <w:rPr>
          <w:rFonts w:ascii="Arial" w:hAnsi="Arial" w:cs="Arial"/>
        </w:rPr>
        <w:t xml:space="preserve">likely. </w:t>
      </w:r>
    </w:p>
    <w:p w:rsidR="000E59D4" w:rsidRPr="00B95125" w:rsidRDefault="00124D1C" w:rsidP="00086632">
      <w:pPr>
        <w:keepNext/>
        <w:spacing w:after="120"/>
        <w:rPr>
          <w:rFonts w:ascii="Arial" w:hAnsi="Arial" w:cs="Arial"/>
        </w:rPr>
      </w:pPr>
      <w:r>
        <w:rPr>
          <w:rFonts w:ascii="Arial" w:hAnsi="Arial" w:cs="Arial"/>
        </w:rPr>
        <w:t>The revised document will also include Australia data produced since 2006</w:t>
      </w:r>
      <w:r w:rsidR="00D81C1A">
        <w:rPr>
          <w:rFonts w:ascii="Arial" w:hAnsi="Arial" w:cs="Arial"/>
        </w:rPr>
        <w:t xml:space="preserve"> to support application of the guidelines</w:t>
      </w:r>
      <w:r>
        <w:rPr>
          <w:rFonts w:ascii="Arial" w:hAnsi="Arial" w:cs="Arial"/>
        </w:rPr>
        <w:t xml:space="preserve">. </w:t>
      </w:r>
      <w:r w:rsidR="0077039F" w:rsidRPr="00B95125">
        <w:rPr>
          <w:rFonts w:ascii="Arial" w:hAnsi="Arial" w:cs="Arial"/>
        </w:rPr>
        <w:t xml:space="preserve"> </w:t>
      </w:r>
    </w:p>
    <w:p w:rsidR="000E59D4" w:rsidRPr="00B95125" w:rsidRDefault="000E59D4" w:rsidP="00CA7638">
      <w:pPr>
        <w:pStyle w:val="ListParagraph"/>
        <w:numPr>
          <w:ilvl w:val="1"/>
          <w:numId w:val="3"/>
        </w:numPr>
        <w:spacing w:after="120"/>
        <w:ind w:left="426" w:hanging="426"/>
        <w:rPr>
          <w:rFonts w:ascii="Arial" w:hAnsi="Arial" w:cs="Arial"/>
          <w:b/>
        </w:rPr>
      </w:pPr>
      <w:r w:rsidRPr="00B95125">
        <w:rPr>
          <w:rFonts w:ascii="Arial" w:hAnsi="Arial" w:cs="Arial"/>
          <w:b/>
        </w:rPr>
        <w:t>Potential challenges</w:t>
      </w:r>
      <w:r w:rsidR="001E713B" w:rsidRPr="00B95125">
        <w:rPr>
          <w:rFonts w:ascii="Arial" w:hAnsi="Arial" w:cs="Arial"/>
          <w:b/>
        </w:rPr>
        <w:t xml:space="preserve">  </w:t>
      </w:r>
    </w:p>
    <w:p w:rsidR="009250AD" w:rsidRPr="00B95125" w:rsidRDefault="000E59D4" w:rsidP="00CA7638">
      <w:pPr>
        <w:spacing w:after="120"/>
        <w:rPr>
          <w:rFonts w:ascii="Arial" w:hAnsi="Arial" w:cs="Arial"/>
        </w:rPr>
      </w:pPr>
      <w:r w:rsidRPr="00B95125">
        <w:rPr>
          <w:rFonts w:ascii="Arial" w:hAnsi="Arial" w:cs="Arial"/>
        </w:rPr>
        <w:t xml:space="preserve">The main challenge is the 0.5 log increase in the performance targets for protozoa. </w:t>
      </w:r>
      <w:r w:rsidR="00D81C1A">
        <w:rPr>
          <w:rFonts w:ascii="Arial" w:hAnsi="Arial" w:cs="Arial"/>
        </w:rPr>
        <w:t xml:space="preserve">For </w:t>
      </w:r>
      <w:r w:rsidRPr="00B95125">
        <w:rPr>
          <w:rFonts w:ascii="Arial" w:hAnsi="Arial" w:cs="Arial"/>
        </w:rPr>
        <w:t xml:space="preserve">high exposure schemes </w:t>
      </w:r>
      <w:r w:rsidR="00D81C1A">
        <w:rPr>
          <w:rFonts w:ascii="Arial" w:hAnsi="Arial" w:cs="Arial"/>
        </w:rPr>
        <w:t>using high levels of treatment this could r</w:t>
      </w:r>
      <w:r w:rsidRPr="00B95125">
        <w:rPr>
          <w:rFonts w:ascii="Arial" w:hAnsi="Arial" w:cs="Arial"/>
        </w:rPr>
        <w:t xml:space="preserve">equire small </w:t>
      </w:r>
      <w:r w:rsidR="00C85BC3" w:rsidRPr="00B95125">
        <w:rPr>
          <w:rFonts w:ascii="Arial" w:hAnsi="Arial" w:cs="Arial"/>
        </w:rPr>
        <w:t xml:space="preserve">enhancements of existing </w:t>
      </w:r>
      <w:r w:rsidRPr="00B95125">
        <w:rPr>
          <w:rFonts w:ascii="Arial" w:hAnsi="Arial" w:cs="Arial"/>
        </w:rPr>
        <w:t>treatment</w:t>
      </w:r>
      <w:r w:rsidR="00D81C1A">
        <w:rPr>
          <w:rFonts w:ascii="Arial" w:hAnsi="Arial" w:cs="Arial"/>
        </w:rPr>
        <w:t xml:space="preserve"> processes</w:t>
      </w:r>
      <w:r w:rsidRPr="00B95125">
        <w:rPr>
          <w:rFonts w:ascii="Arial" w:hAnsi="Arial" w:cs="Arial"/>
        </w:rPr>
        <w:t xml:space="preserve">. </w:t>
      </w:r>
      <w:r w:rsidR="009250AD" w:rsidRPr="00B95125">
        <w:rPr>
          <w:rFonts w:ascii="Arial" w:hAnsi="Arial" w:cs="Arial"/>
        </w:rPr>
        <w:t xml:space="preserve">In many cases this could be achieved by enhanced operation of existing processes. Lower exposure schemes using </w:t>
      </w:r>
      <w:r w:rsidR="009D2FAA" w:rsidRPr="00B95125">
        <w:rPr>
          <w:rFonts w:ascii="Arial" w:hAnsi="Arial" w:cs="Arial"/>
        </w:rPr>
        <w:t>non-treatment</w:t>
      </w:r>
      <w:r w:rsidR="009250AD" w:rsidRPr="00B95125">
        <w:rPr>
          <w:rFonts w:ascii="Arial" w:hAnsi="Arial" w:cs="Arial"/>
        </w:rPr>
        <w:t xml:space="preserve"> measures to reduce exposure could </w:t>
      </w:r>
      <w:r w:rsidR="00D81C1A">
        <w:rPr>
          <w:rFonts w:ascii="Arial" w:hAnsi="Arial" w:cs="Arial"/>
        </w:rPr>
        <w:t>require</w:t>
      </w:r>
      <w:r w:rsidR="009250AD" w:rsidRPr="00B95125">
        <w:rPr>
          <w:rFonts w:ascii="Arial" w:hAnsi="Arial" w:cs="Arial"/>
        </w:rPr>
        <w:t xml:space="preserve"> minor enhancements of these </w:t>
      </w:r>
      <w:r w:rsidR="009D2FAA" w:rsidRPr="00B95125">
        <w:rPr>
          <w:rFonts w:ascii="Arial" w:hAnsi="Arial" w:cs="Arial"/>
        </w:rPr>
        <w:t>non-treatment</w:t>
      </w:r>
      <w:r w:rsidR="009250AD" w:rsidRPr="00B95125">
        <w:rPr>
          <w:rFonts w:ascii="Arial" w:hAnsi="Arial" w:cs="Arial"/>
        </w:rPr>
        <w:t xml:space="preserve"> measures. </w:t>
      </w:r>
    </w:p>
    <w:p w:rsidR="00C85BC3" w:rsidRPr="00B95125" w:rsidRDefault="00C85BC3" w:rsidP="00CA7638">
      <w:pPr>
        <w:spacing w:after="120"/>
        <w:rPr>
          <w:rFonts w:ascii="Arial" w:hAnsi="Arial" w:cs="Arial"/>
        </w:rPr>
      </w:pPr>
      <w:r w:rsidRPr="00B95125">
        <w:rPr>
          <w:rFonts w:ascii="Arial" w:hAnsi="Arial" w:cs="Arial"/>
        </w:rPr>
        <w:t xml:space="preserve">The 0.5 log increase in the performance targets for bacteria is unlikely to have a substantial impact. Controls directed at protozoa and viruses are generally effective in providing </w:t>
      </w:r>
      <w:r w:rsidR="00F82751">
        <w:rPr>
          <w:rFonts w:ascii="Arial" w:hAnsi="Arial" w:cs="Arial"/>
        </w:rPr>
        <w:t xml:space="preserve">more than </w:t>
      </w:r>
      <w:r w:rsidRPr="00B95125">
        <w:rPr>
          <w:rFonts w:ascii="Arial" w:hAnsi="Arial" w:cs="Arial"/>
        </w:rPr>
        <w:t>required LRVs for bacteria.</w:t>
      </w:r>
    </w:p>
    <w:p w:rsidR="009250AD" w:rsidRDefault="009250AD" w:rsidP="00CA7638">
      <w:pPr>
        <w:spacing w:after="120"/>
        <w:rPr>
          <w:rFonts w:ascii="Arial" w:hAnsi="Arial" w:cs="Arial"/>
        </w:rPr>
      </w:pPr>
      <w:r w:rsidRPr="00B95125">
        <w:rPr>
          <w:rFonts w:ascii="Arial" w:hAnsi="Arial" w:cs="Arial"/>
        </w:rPr>
        <w:t>Inclusion of the continuum for water safety supports a flexible approach to the introduction of any required modifications/enhancements</w:t>
      </w:r>
      <w:r w:rsidR="00CA7638" w:rsidRPr="00B95125">
        <w:rPr>
          <w:rFonts w:ascii="Arial" w:hAnsi="Arial" w:cs="Arial"/>
        </w:rPr>
        <w:t xml:space="preserve">. If the continuum is applied immediate impacts would be minimised with the potential introduction of future enhancements to be agreed between proponents and relevant regulators.  </w:t>
      </w:r>
    </w:p>
    <w:p w:rsidR="005F216D" w:rsidRPr="00B95125" w:rsidRDefault="005F216D" w:rsidP="005F216D">
      <w:pPr>
        <w:pStyle w:val="ListParagraph"/>
        <w:numPr>
          <w:ilvl w:val="1"/>
          <w:numId w:val="3"/>
        </w:numPr>
        <w:spacing w:after="120"/>
        <w:rPr>
          <w:rFonts w:ascii="Arial" w:hAnsi="Arial" w:cs="Arial"/>
          <w:b/>
        </w:rPr>
      </w:pPr>
      <w:r w:rsidRPr="00B95125">
        <w:rPr>
          <w:rFonts w:ascii="Arial" w:hAnsi="Arial" w:cs="Arial"/>
          <w:b/>
        </w:rPr>
        <w:t>Implications of not proceeding with the revisions</w:t>
      </w:r>
    </w:p>
    <w:p w:rsidR="005F216D" w:rsidRPr="00B95125" w:rsidRDefault="005F216D" w:rsidP="005F216D">
      <w:pPr>
        <w:spacing w:after="120"/>
        <w:rPr>
          <w:rFonts w:ascii="Arial" w:hAnsi="Arial" w:cs="Arial"/>
        </w:rPr>
      </w:pPr>
      <w:r w:rsidRPr="00B95125">
        <w:rPr>
          <w:rFonts w:ascii="Arial" w:hAnsi="Arial" w:cs="Arial"/>
        </w:rPr>
        <w:t>The Phase 1 document is 1</w:t>
      </w:r>
      <w:r w:rsidR="00BE6282">
        <w:rPr>
          <w:rFonts w:ascii="Arial" w:hAnsi="Arial" w:cs="Arial"/>
        </w:rPr>
        <w:t>4</w:t>
      </w:r>
      <w:r w:rsidRPr="00B95125">
        <w:rPr>
          <w:rFonts w:ascii="Arial" w:hAnsi="Arial" w:cs="Arial"/>
        </w:rPr>
        <w:t xml:space="preserve"> years old; some of the information is dated and in some cases supporting processes such as validation of technologies has become more sophisticated. The original intent of developing the AGWR was to support a consistent Australia wide approach to water recycling. This relies on confidence in the scientific basis of the AGWR. This will be weakened if the document loses currency and if reliance on other documents increases (e.g. validation frameworks and protocols).  </w:t>
      </w:r>
    </w:p>
    <w:p w:rsidR="005F216D" w:rsidRPr="00B95125" w:rsidRDefault="005F216D" w:rsidP="005F216D">
      <w:pPr>
        <w:spacing w:after="120"/>
        <w:rPr>
          <w:rFonts w:ascii="Arial" w:hAnsi="Arial" w:cs="Arial"/>
        </w:rPr>
      </w:pPr>
      <w:r w:rsidRPr="00B95125">
        <w:rPr>
          <w:rFonts w:ascii="Arial" w:hAnsi="Arial" w:cs="Arial"/>
        </w:rPr>
        <w:t xml:space="preserve">Related documents such as the ADWG and the GDWQ are revised on an ongoing basis which can lead to points of alignment being lost (e.g. selection of reference pathogens, dose response models etc.) and consistency being compromised.  </w:t>
      </w:r>
    </w:p>
    <w:p w:rsidR="009250AD" w:rsidRPr="00B95125" w:rsidRDefault="00157952" w:rsidP="005F216D">
      <w:pPr>
        <w:pStyle w:val="ListParagraph"/>
        <w:numPr>
          <w:ilvl w:val="0"/>
          <w:numId w:val="3"/>
        </w:numPr>
        <w:spacing w:after="120"/>
        <w:ind w:left="426" w:hanging="426"/>
        <w:rPr>
          <w:rFonts w:ascii="Arial" w:hAnsi="Arial" w:cs="Arial"/>
          <w:b/>
        </w:rPr>
      </w:pPr>
      <w:r>
        <w:rPr>
          <w:rFonts w:ascii="Arial" w:hAnsi="Arial" w:cs="Arial"/>
          <w:b/>
        </w:rPr>
        <w:t xml:space="preserve">POTENTIAL CONSEQUENTIAL </w:t>
      </w:r>
      <w:r w:rsidR="005F216D" w:rsidRPr="00B95125">
        <w:rPr>
          <w:rFonts w:ascii="Arial" w:hAnsi="Arial" w:cs="Arial"/>
          <w:b/>
        </w:rPr>
        <w:t>ACTIONS/REVISIONS</w:t>
      </w:r>
      <w:r w:rsidR="005F216D">
        <w:rPr>
          <w:rFonts w:ascii="Arial" w:hAnsi="Arial" w:cs="Arial"/>
          <w:b/>
        </w:rPr>
        <w:t xml:space="preserve"> TO PHASE 2 MODULES</w:t>
      </w:r>
    </w:p>
    <w:p w:rsidR="00DE660E" w:rsidRDefault="005F216D" w:rsidP="00D50A98">
      <w:pPr>
        <w:spacing w:after="120"/>
        <w:rPr>
          <w:rFonts w:ascii="Arial" w:hAnsi="Arial" w:cs="Arial"/>
        </w:rPr>
      </w:pPr>
      <w:r>
        <w:rPr>
          <w:rFonts w:ascii="Arial" w:hAnsi="Arial" w:cs="Arial"/>
        </w:rPr>
        <w:t>At this stage the proposed revisions only deal with the Phase 1 component of the AGWR. Depending on the outcomes of consultation on these revisions</w:t>
      </w:r>
      <w:r w:rsidR="00DE660E">
        <w:rPr>
          <w:rFonts w:ascii="Arial" w:hAnsi="Arial" w:cs="Arial"/>
        </w:rPr>
        <w:t xml:space="preserve"> there could be implications for the calculation of performance targets in the</w:t>
      </w:r>
      <w:r>
        <w:rPr>
          <w:rFonts w:ascii="Arial" w:hAnsi="Arial" w:cs="Arial"/>
        </w:rPr>
        <w:t xml:space="preserve"> </w:t>
      </w:r>
      <w:r w:rsidR="00DE660E">
        <w:rPr>
          <w:rFonts w:ascii="Arial" w:hAnsi="Arial" w:cs="Arial"/>
        </w:rPr>
        <w:t>P</w:t>
      </w:r>
      <w:r w:rsidR="00102781">
        <w:rPr>
          <w:rFonts w:ascii="Arial" w:hAnsi="Arial" w:cs="Arial"/>
        </w:rPr>
        <w:t>hase 2 modules for drinking water augmentation and stormwater harvesting and reuse</w:t>
      </w:r>
      <w:r w:rsidR="00DE660E">
        <w:rPr>
          <w:rFonts w:ascii="Arial" w:hAnsi="Arial" w:cs="Arial"/>
        </w:rPr>
        <w:t xml:space="preserve">. </w:t>
      </w:r>
      <w:r w:rsidR="007E77F3" w:rsidRPr="00B95125">
        <w:rPr>
          <w:rFonts w:ascii="Arial" w:hAnsi="Arial" w:cs="Arial"/>
        </w:rPr>
        <w:t xml:space="preserve">Subsequent modifications </w:t>
      </w:r>
      <w:r w:rsidR="00DE660E">
        <w:rPr>
          <w:rFonts w:ascii="Arial" w:hAnsi="Arial" w:cs="Arial"/>
        </w:rPr>
        <w:t>c</w:t>
      </w:r>
      <w:r w:rsidR="007E77F3" w:rsidRPr="00B95125">
        <w:rPr>
          <w:rFonts w:ascii="Arial" w:hAnsi="Arial" w:cs="Arial"/>
        </w:rPr>
        <w:t xml:space="preserve">ould be considered </w:t>
      </w:r>
      <w:r w:rsidR="00E75062" w:rsidRPr="00B95125">
        <w:rPr>
          <w:rFonts w:ascii="Arial" w:hAnsi="Arial" w:cs="Arial"/>
        </w:rPr>
        <w:t>at a later date</w:t>
      </w:r>
      <w:r w:rsidR="00DE660E">
        <w:rPr>
          <w:rFonts w:ascii="Arial" w:hAnsi="Arial" w:cs="Arial"/>
        </w:rPr>
        <w:t xml:space="preserve"> to </w:t>
      </w:r>
      <w:r w:rsidR="00DE660E">
        <w:rPr>
          <w:rFonts w:ascii="Arial" w:hAnsi="Arial" w:cs="Arial"/>
        </w:rPr>
        <w:lastRenderedPageBreak/>
        <w:t>deal with these implications and to maintain consistency within the various modules of the AGWR</w:t>
      </w:r>
      <w:r w:rsidR="00BB00F1" w:rsidRPr="00B95125">
        <w:rPr>
          <w:rFonts w:ascii="Arial" w:hAnsi="Arial" w:cs="Arial"/>
        </w:rPr>
        <w:t xml:space="preserve">. These </w:t>
      </w:r>
      <w:r w:rsidR="00DE660E">
        <w:rPr>
          <w:rFonts w:ascii="Arial" w:hAnsi="Arial" w:cs="Arial"/>
        </w:rPr>
        <w:t>c</w:t>
      </w:r>
      <w:r w:rsidR="00206ED8" w:rsidRPr="00B95125">
        <w:rPr>
          <w:rFonts w:ascii="Arial" w:hAnsi="Arial" w:cs="Arial"/>
        </w:rPr>
        <w:t xml:space="preserve">ould be limited to the replacement of rotavirus with norovirus as a reference pathogen for viruses and </w:t>
      </w:r>
      <w:r w:rsidR="009F714D" w:rsidRPr="00B95125">
        <w:rPr>
          <w:rFonts w:ascii="Arial" w:hAnsi="Arial" w:cs="Arial"/>
        </w:rPr>
        <w:t xml:space="preserve">changes to the </w:t>
      </w:r>
      <w:r w:rsidR="00206ED8" w:rsidRPr="00B95125">
        <w:rPr>
          <w:rFonts w:ascii="Arial" w:hAnsi="Arial" w:cs="Arial"/>
        </w:rPr>
        <w:t>required LRVs for protozoa and bacteria.</w:t>
      </w:r>
      <w:r w:rsidR="009F714D" w:rsidRPr="00B95125">
        <w:rPr>
          <w:rFonts w:ascii="Arial" w:hAnsi="Arial" w:cs="Arial"/>
        </w:rPr>
        <w:t xml:space="preserve"> </w:t>
      </w:r>
      <w:r w:rsidR="00C85BC3" w:rsidRPr="00B95125">
        <w:rPr>
          <w:rFonts w:ascii="Arial" w:hAnsi="Arial" w:cs="Arial"/>
        </w:rPr>
        <w:t xml:space="preserve">Changes to the text would be minor. </w:t>
      </w:r>
    </w:p>
    <w:p w:rsidR="00497913" w:rsidRPr="00B95125" w:rsidRDefault="00C85BC3" w:rsidP="00D50A98">
      <w:pPr>
        <w:spacing w:after="120"/>
        <w:rPr>
          <w:rFonts w:ascii="Arial" w:hAnsi="Arial" w:cs="Arial"/>
        </w:rPr>
      </w:pPr>
      <w:r w:rsidRPr="00B95125">
        <w:rPr>
          <w:rFonts w:ascii="Arial" w:hAnsi="Arial" w:cs="Arial"/>
        </w:rPr>
        <w:t xml:space="preserve">The following changes would be consistent with the </w:t>
      </w:r>
      <w:r w:rsidR="009F714D" w:rsidRPr="00B95125">
        <w:rPr>
          <w:rFonts w:ascii="Arial" w:hAnsi="Arial" w:cs="Arial"/>
        </w:rPr>
        <w:t xml:space="preserve">revisions proposed for </w:t>
      </w:r>
      <w:r w:rsidRPr="00B95125">
        <w:rPr>
          <w:rFonts w:ascii="Arial" w:hAnsi="Arial" w:cs="Arial"/>
        </w:rPr>
        <w:t xml:space="preserve">the </w:t>
      </w:r>
      <w:r w:rsidR="009F714D" w:rsidRPr="00B95125">
        <w:rPr>
          <w:rFonts w:ascii="Arial" w:hAnsi="Arial" w:cs="Arial"/>
        </w:rPr>
        <w:t>Phase</w:t>
      </w:r>
      <w:r w:rsidRPr="00B95125">
        <w:rPr>
          <w:rFonts w:ascii="Arial" w:hAnsi="Arial" w:cs="Arial"/>
        </w:rPr>
        <w:t xml:space="preserve"> 1 document</w:t>
      </w:r>
      <w:r w:rsidR="00497913" w:rsidRPr="00B95125">
        <w:rPr>
          <w:rFonts w:ascii="Arial" w:hAnsi="Arial" w:cs="Arial"/>
        </w:rPr>
        <w:t>:</w:t>
      </w:r>
    </w:p>
    <w:p w:rsidR="00497913" w:rsidRPr="00B95125" w:rsidRDefault="00497913" w:rsidP="00701641">
      <w:pPr>
        <w:pStyle w:val="ListParagraph"/>
        <w:numPr>
          <w:ilvl w:val="0"/>
          <w:numId w:val="10"/>
        </w:numPr>
        <w:spacing w:after="120"/>
        <w:ind w:left="426" w:hanging="426"/>
        <w:rPr>
          <w:rFonts w:ascii="Arial" w:hAnsi="Arial" w:cs="Arial"/>
        </w:rPr>
      </w:pPr>
      <w:r w:rsidRPr="00B95125">
        <w:rPr>
          <w:rFonts w:ascii="Arial" w:hAnsi="Arial" w:cs="Arial"/>
          <w:b/>
        </w:rPr>
        <w:t>Augmentation of drinking water supplies</w:t>
      </w:r>
      <w:r w:rsidR="00C85BC3" w:rsidRPr="00B95125">
        <w:rPr>
          <w:rFonts w:ascii="Arial" w:hAnsi="Arial" w:cs="Arial"/>
          <w:b/>
        </w:rPr>
        <w:br/>
      </w:r>
      <w:r w:rsidR="00C85BC3" w:rsidRPr="00B95125">
        <w:rPr>
          <w:rFonts w:ascii="Arial" w:hAnsi="Arial" w:cs="Arial"/>
        </w:rPr>
        <w:t xml:space="preserve">Required </w:t>
      </w:r>
      <w:r w:rsidR="00701641" w:rsidRPr="00B95125">
        <w:rPr>
          <w:rFonts w:ascii="Arial" w:hAnsi="Arial" w:cs="Arial"/>
        </w:rPr>
        <w:t xml:space="preserve">performance targets </w:t>
      </w:r>
      <w:r w:rsidR="00C85BC3" w:rsidRPr="00B95125">
        <w:rPr>
          <w:rFonts w:ascii="Arial" w:hAnsi="Arial" w:cs="Arial"/>
        </w:rPr>
        <w:t>would change from</w:t>
      </w:r>
      <w:r w:rsidR="00701641" w:rsidRPr="00B95125">
        <w:rPr>
          <w:rFonts w:ascii="Arial" w:hAnsi="Arial" w:cs="Arial"/>
        </w:rPr>
        <w:br/>
      </w:r>
      <w:r w:rsidR="00C64B85" w:rsidRPr="00B95125">
        <w:rPr>
          <w:rFonts w:ascii="Arial" w:hAnsi="Arial" w:cs="Arial"/>
        </w:rPr>
        <w:t xml:space="preserve">8 log </w:t>
      </w:r>
      <w:r w:rsidR="00701641" w:rsidRPr="00B95125">
        <w:rPr>
          <w:rFonts w:ascii="Arial" w:hAnsi="Arial" w:cs="Arial"/>
        </w:rPr>
        <w:t xml:space="preserve">reduction </w:t>
      </w:r>
      <w:r w:rsidR="00B50D71" w:rsidRPr="00B95125">
        <w:rPr>
          <w:rFonts w:ascii="Arial" w:hAnsi="Arial" w:cs="Arial"/>
        </w:rPr>
        <w:t>protozoa</w:t>
      </w:r>
      <w:r w:rsidR="00701641" w:rsidRPr="00B95125">
        <w:rPr>
          <w:rFonts w:ascii="Arial" w:hAnsi="Arial" w:cs="Arial"/>
        </w:rPr>
        <w:t xml:space="preserve">, </w:t>
      </w:r>
      <w:r w:rsidR="00C85BC3" w:rsidRPr="00B95125">
        <w:rPr>
          <w:rFonts w:ascii="Arial" w:hAnsi="Arial" w:cs="Arial"/>
        </w:rPr>
        <w:t xml:space="preserve"> </w:t>
      </w:r>
      <w:r w:rsidR="00701641" w:rsidRPr="00B95125">
        <w:rPr>
          <w:rFonts w:ascii="Arial" w:hAnsi="Arial" w:cs="Arial"/>
        </w:rPr>
        <w:t xml:space="preserve">9.5 log reduction of enteric viruses, 8 log reduction of </w:t>
      </w:r>
      <w:r w:rsidR="00B50D71" w:rsidRPr="00B95125">
        <w:rPr>
          <w:rFonts w:ascii="Arial" w:hAnsi="Arial" w:cs="Arial"/>
        </w:rPr>
        <w:t>bacteria</w:t>
      </w:r>
      <w:r w:rsidR="00701641" w:rsidRPr="00B95125">
        <w:rPr>
          <w:rFonts w:ascii="Arial" w:hAnsi="Arial" w:cs="Arial"/>
        </w:rPr>
        <w:t xml:space="preserve"> </w:t>
      </w:r>
      <w:r w:rsidR="00701641" w:rsidRPr="00086632">
        <w:rPr>
          <w:rFonts w:ascii="Arial" w:hAnsi="Arial" w:cs="Arial"/>
          <w:i/>
        </w:rPr>
        <w:t>to</w:t>
      </w:r>
      <w:r w:rsidR="00701641" w:rsidRPr="00B95125">
        <w:rPr>
          <w:rFonts w:ascii="Arial" w:hAnsi="Arial" w:cs="Arial"/>
        </w:rPr>
        <w:t xml:space="preserve"> </w:t>
      </w:r>
      <w:r w:rsidR="00701641" w:rsidRPr="00B95125">
        <w:rPr>
          <w:rFonts w:ascii="Arial" w:hAnsi="Arial" w:cs="Arial"/>
        </w:rPr>
        <w:br/>
        <w:t xml:space="preserve">8.5 log reduction </w:t>
      </w:r>
      <w:r w:rsidR="00B50D71" w:rsidRPr="00B95125">
        <w:rPr>
          <w:rFonts w:ascii="Arial" w:hAnsi="Arial" w:cs="Arial"/>
        </w:rPr>
        <w:t>protozoa</w:t>
      </w:r>
      <w:r w:rsidR="00701641" w:rsidRPr="00B95125">
        <w:rPr>
          <w:rFonts w:ascii="Arial" w:hAnsi="Arial" w:cs="Arial"/>
        </w:rPr>
        <w:t xml:space="preserve">,  9 log reduction of enteric viruses, 9 log reduction of </w:t>
      </w:r>
      <w:r w:rsidR="00B50D71" w:rsidRPr="00B95125">
        <w:rPr>
          <w:rFonts w:ascii="Arial" w:hAnsi="Arial" w:cs="Arial"/>
        </w:rPr>
        <w:t>bacteria</w:t>
      </w:r>
      <w:r w:rsidR="00086632">
        <w:rPr>
          <w:rFonts w:ascii="Arial" w:hAnsi="Arial" w:cs="Arial"/>
        </w:rPr>
        <w:t>.</w:t>
      </w:r>
      <w:r w:rsidR="00B50D71" w:rsidRPr="00B95125">
        <w:rPr>
          <w:rFonts w:ascii="Arial" w:hAnsi="Arial" w:cs="Arial"/>
          <w:i/>
        </w:rPr>
        <w:br/>
      </w:r>
      <w:r w:rsidR="00086632">
        <w:rPr>
          <w:rFonts w:ascii="Arial" w:hAnsi="Arial" w:cs="Arial"/>
        </w:rPr>
        <w:br/>
      </w:r>
      <w:r w:rsidR="00B50D71" w:rsidRPr="00B95125">
        <w:rPr>
          <w:rFonts w:ascii="Arial" w:hAnsi="Arial" w:cs="Arial"/>
        </w:rPr>
        <w:t>This would involve changes to one page (41) of the module</w:t>
      </w:r>
      <w:r w:rsidR="00F4205E" w:rsidRPr="00B95125">
        <w:rPr>
          <w:rFonts w:ascii="Arial" w:hAnsi="Arial" w:cs="Arial"/>
        </w:rPr>
        <w:t xml:space="preserve"> and is unlikely to have a significant impact</w:t>
      </w:r>
      <w:r w:rsidR="00086632">
        <w:rPr>
          <w:rFonts w:ascii="Arial" w:hAnsi="Arial" w:cs="Arial"/>
        </w:rPr>
        <w:t>.</w:t>
      </w:r>
      <w:r w:rsidR="00F4205E" w:rsidRPr="00B95125">
        <w:rPr>
          <w:rFonts w:ascii="Arial" w:hAnsi="Arial" w:cs="Arial"/>
        </w:rPr>
        <w:t xml:space="preserve"> </w:t>
      </w:r>
    </w:p>
    <w:p w:rsidR="00F4205E" w:rsidRPr="00B95125" w:rsidRDefault="00F4205E" w:rsidP="00F4205E">
      <w:pPr>
        <w:pStyle w:val="ListParagraph"/>
        <w:spacing w:after="120"/>
        <w:ind w:left="426"/>
        <w:rPr>
          <w:rFonts w:ascii="Arial" w:hAnsi="Arial" w:cs="Arial"/>
        </w:rPr>
      </w:pPr>
    </w:p>
    <w:p w:rsidR="00B50D71" w:rsidRPr="00B95125" w:rsidRDefault="00B50D71" w:rsidP="00701641">
      <w:pPr>
        <w:pStyle w:val="ListParagraph"/>
        <w:numPr>
          <w:ilvl w:val="0"/>
          <w:numId w:val="10"/>
        </w:numPr>
        <w:spacing w:after="120"/>
        <w:ind w:left="426" w:hanging="426"/>
        <w:rPr>
          <w:rFonts w:ascii="Arial" w:hAnsi="Arial" w:cs="Arial"/>
          <w:b/>
        </w:rPr>
      </w:pPr>
      <w:r w:rsidRPr="00B95125">
        <w:rPr>
          <w:rFonts w:ascii="Arial" w:hAnsi="Arial" w:cs="Arial"/>
          <w:b/>
        </w:rPr>
        <w:t>Stormwater harvesting and reuse</w:t>
      </w:r>
      <w:r w:rsidRPr="00B95125">
        <w:rPr>
          <w:rFonts w:ascii="Arial" w:hAnsi="Arial" w:cs="Arial"/>
          <w:b/>
        </w:rPr>
        <w:br/>
      </w:r>
      <w:r w:rsidRPr="00B95125">
        <w:rPr>
          <w:rFonts w:ascii="Arial" w:hAnsi="Arial" w:cs="Arial"/>
        </w:rPr>
        <w:t>Required performance targets would change as shown in the following Table:</w:t>
      </w:r>
    </w:p>
    <w:p w:rsidR="00B50D71" w:rsidRPr="00B95125" w:rsidRDefault="00B50D71" w:rsidP="00157952">
      <w:pPr>
        <w:pStyle w:val="ListParagraph"/>
        <w:keepNext/>
        <w:spacing w:after="120"/>
        <w:ind w:left="426"/>
        <w:rPr>
          <w:rFonts w:ascii="Arial" w:hAnsi="Arial" w:cs="Arial"/>
          <w:b/>
        </w:rPr>
      </w:pPr>
    </w:p>
    <w:tbl>
      <w:tblPr>
        <w:tblStyle w:val="TableGrid"/>
        <w:tblW w:w="0" w:type="auto"/>
        <w:tblInd w:w="426" w:type="dxa"/>
        <w:tblLook w:val="04A0" w:firstRow="1" w:lastRow="0" w:firstColumn="1" w:lastColumn="0" w:noHBand="0" w:noVBand="1"/>
      </w:tblPr>
      <w:tblGrid>
        <w:gridCol w:w="3935"/>
        <w:gridCol w:w="894"/>
        <w:gridCol w:w="1486"/>
        <w:gridCol w:w="1577"/>
        <w:gridCol w:w="1536"/>
      </w:tblGrid>
      <w:tr w:rsidR="00B50D71" w:rsidRPr="00B95125" w:rsidTr="00397053">
        <w:tc>
          <w:tcPr>
            <w:tcW w:w="4829" w:type="dxa"/>
            <w:gridSpan w:val="2"/>
            <w:vMerge w:val="restart"/>
          </w:tcPr>
          <w:p w:rsidR="00B50D71" w:rsidRPr="00B95125" w:rsidRDefault="00B50D71" w:rsidP="00157952">
            <w:pPr>
              <w:pStyle w:val="ListParagraph"/>
              <w:keepNext/>
              <w:spacing w:after="120"/>
              <w:ind w:left="0"/>
              <w:jc w:val="center"/>
              <w:rPr>
                <w:rFonts w:ascii="Arial" w:hAnsi="Arial" w:cs="Arial"/>
                <w:b/>
              </w:rPr>
            </w:pPr>
            <w:r w:rsidRPr="00B95125">
              <w:rPr>
                <w:rFonts w:ascii="Arial" w:hAnsi="Arial" w:cs="Arial"/>
                <w:b/>
              </w:rPr>
              <w:t>Use</w:t>
            </w:r>
          </w:p>
        </w:tc>
        <w:tc>
          <w:tcPr>
            <w:tcW w:w="4599" w:type="dxa"/>
            <w:gridSpan w:val="3"/>
            <w:tcBorders>
              <w:bottom w:val="nil"/>
            </w:tcBorders>
          </w:tcPr>
          <w:p w:rsidR="00B50D71" w:rsidRPr="00B95125" w:rsidRDefault="00B50D71" w:rsidP="00157952">
            <w:pPr>
              <w:pStyle w:val="ListParagraph"/>
              <w:keepNext/>
              <w:spacing w:after="120"/>
              <w:ind w:left="0"/>
              <w:jc w:val="center"/>
              <w:rPr>
                <w:rFonts w:ascii="Arial" w:hAnsi="Arial" w:cs="Arial"/>
                <w:b/>
              </w:rPr>
            </w:pPr>
            <w:r w:rsidRPr="00B95125">
              <w:rPr>
                <w:rFonts w:ascii="Arial" w:hAnsi="Arial" w:cs="Arial"/>
                <w:b/>
              </w:rPr>
              <w:t>Log reduction targets</w:t>
            </w:r>
          </w:p>
        </w:tc>
      </w:tr>
      <w:tr w:rsidR="00B50D71" w:rsidRPr="00B95125" w:rsidTr="00397053">
        <w:tc>
          <w:tcPr>
            <w:tcW w:w="4829" w:type="dxa"/>
            <w:gridSpan w:val="2"/>
            <w:vMerge/>
          </w:tcPr>
          <w:p w:rsidR="00B50D71" w:rsidRPr="00B95125" w:rsidRDefault="00B50D71" w:rsidP="00157952">
            <w:pPr>
              <w:pStyle w:val="ListParagraph"/>
              <w:keepNext/>
              <w:spacing w:after="120"/>
              <w:ind w:left="0"/>
              <w:rPr>
                <w:rFonts w:ascii="Arial" w:hAnsi="Arial" w:cs="Arial"/>
                <w:b/>
              </w:rPr>
            </w:pPr>
          </w:p>
        </w:tc>
        <w:tc>
          <w:tcPr>
            <w:tcW w:w="1486" w:type="dxa"/>
            <w:tcBorders>
              <w:top w:val="nil"/>
            </w:tcBorders>
          </w:tcPr>
          <w:p w:rsidR="00B50D71" w:rsidRPr="00B95125" w:rsidRDefault="00B50D71" w:rsidP="00157952">
            <w:pPr>
              <w:pStyle w:val="ListParagraph"/>
              <w:keepNext/>
              <w:spacing w:after="120"/>
              <w:ind w:left="0"/>
              <w:rPr>
                <w:rFonts w:ascii="Arial" w:hAnsi="Arial" w:cs="Arial"/>
                <w:b/>
              </w:rPr>
            </w:pPr>
            <w:r w:rsidRPr="00B95125">
              <w:rPr>
                <w:rFonts w:ascii="Arial" w:hAnsi="Arial" w:cs="Arial"/>
                <w:b/>
              </w:rPr>
              <w:t>Viruses</w:t>
            </w:r>
          </w:p>
        </w:tc>
        <w:tc>
          <w:tcPr>
            <w:tcW w:w="1577" w:type="dxa"/>
            <w:tcBorders>
              <w:top w:val="nil"/>
            </w:tcBorders>
          </w:tcPr>
          <w:p w:rsidR="00B50D71" w:rsidRPr="00B95125" w:rsidRDefault="00B50D71" w:rsidP="00157952">
            <w:pPr>
              <w:pStyle w:val="ListParagraph"/>
              <w:keepNext/>
              <w:spacing w:after="120"/>
              <w:ind w:left="0"/>
              <w:rPr>
                <w:rFonts w:ascii="Arial" w:hAnsi="Arial" w:cs="Arial"/>
                <w:b/>
              </w:rPr>
            </w:pPr>
            <w:r w:rsidRPr="00B95125">
              <w:rPr>
                <w:rFonts w:ascii="Arial" w:hAnsi="Arial" w:cs="Arial"/>
                <w:b/>
              </w:rPr>
              <w:t>Protozoa</w:t>
            </w:r>
          </w:p>
        </w:tc>
        <w:tc>
          <w:tcPr>
            <w:tcW w:w="1536" w:type="dxa"/>
            <w:tcBorders>
              <w:top w:val="nil"/>
            </w:tcBorders>
          </w:tcPr>
          <w:p w:rsidR="00B50D71" w:rsidRPr="00B95125" w:rsidRDefault="00B50D71" w:rsidP="00157952">
            <w:pPr>
              <w:pStyle w:val="ListParagraph"/>
              <w:keepNext/>
              <w:spacing w:after="120"/>
              <w:ind w:left="0"/>
              <w:rPr>
                <w:rFonts w:ascii="Arial" w:hAnsi="Arial" w:cs="Arial"/>
                <w:b/>
              </w:rPr>
            </w:pPr>
            <w:r w:rsidRPr="00B95125">
              <w:rPr>
                <w:rFonts w:ascii="Arial" w:hAnsi="Arial" w:cs="Arial"/>
                <w:b/>
              </w:rPr>
              <w:t>Bacteria</w:t>
            </w:r>
          </w:p>
        </w:tc>
      </w:tr>
      <w:tr w:rsidR="005A0FCC" w:rsidRPr="00B95125" w:rsidTr="00B50D71">
        <w:tc>
          <w:tcPr>
            <w:tcW w:w="3935" w:type="dxa"/>
            <w:vMerge w:val="restart"/>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Municipal use with unrestricted access</w:t>
            </w:r>
          </w:p>
        </w:tc>
        <w:tc>
          <w:tcPr>
            <w:tcW w:w="894" w:type="dxa"/>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Old</w:t>
            </w:r>
          </w:p>
        </w:tc>
        <w:tc>
          <w:tcPr>
            <w:tcW w:w="148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1.3</w:t>
            </w:r>
          </w:p>
        </w:tc>
        <w:tc>
          <w:tcPr>
            <w:tcW w:w="1577"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0.8</w:t>
            </w:r>
          </w:p>
        </w:tc>
        <w:tc>
          <w:tcPr>
            <w:tcW w:w="153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1.3</w:t>
            </w:r>
          </w:p>
        </w:tc>
      </w:tr>
      <w:tr w:rsidR="005A0FCC" w:rsidRPr="00B95125" w:rsidTr="00B50D71">
        <w:tc>
          <w:tcPr>
            <w:tcW w:w="3935" w:type="dxa"/>
            <w:vMerge/>
          </w:tcPr>
          <w:p w:rsidR="005A0FCC" w:rsidRPr="00B95125" w:rsidRDefault="005A0FCC" w:rsidP="00157952">
            <w:pPr>
              <w:pStyle w:val="ListParagraph"/>
              <w:keepNext/>
              <w:spacing w:after="120"/>
              <w:ind w:left="0"/>
              <w:rPr>
                <w:rFonts w:ascii="Arial" w:hAnsi="Arial" w:cs="Arial"/>
                <w:b/>
              </w:rPr>
            </w:pPr>
          </w:p>
        </w:tc>
        <w:tc>
          <w:tcPr>
            <w:tcW w:w="894" w:type="dxa"/>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New</w:t>
            </w:r>
          </w:p>
        </w:tc>
        <w:tc>
          <w:tcPr>
            <w:tcW w:w="148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1.1</w:t>
            </w:r>
          </w:p>
        </w:tc>
        <w:tc>
          <w:tcPr>
            <w:tcW w:w="1577"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1.3</w:t>
            </w:r>
          </w:p>
        </w:tc>
        <w:tc>
          <w:tcPr>
            <w:tcW w:w="153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2.0</w:t>
            </w:r>
          </w:p>
        </w:tc>
      </w:tr>
      <w:tr w:rsidR="005A0FCC" w:rsidRPr="00B95125" w:rsidTr="00B50D71">
        <w:tc>
          <w:tcPr>
            <w:tcW w:w="3935" w:type="dxa"/>
            <w:vMerge w:val="restart"/>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Dual reticulation or irrigation of commercial food crops</w:t>
            </w:r>
          </w:p>
        </w:tc>
        <w:tc>
          <w:tcPr>
            <w:tcW w:w="894" w:type="dxa"/>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Old</w:t>
            </w:r>
          </w:p>
        </w:tc>
        <w:tc>
          <w:tcPr>
            <w:tcW w:w="148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2.4</w:t>
            </w:r>
          </w:p>
        </w:tc>
        <w:tc>
          <w:tcPr>
            <w:tcW w:w="1577"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1.9</w:t>
            </w:r>
          </w:p>
        </w:tc>
        <w:tc>
          <w:tcPr>
            <w:tcW w:w="153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2.4</w:t>
            </w:r>
          </w:p>
        </w:tc>
      </w:tr>
      <w:tr w:rsidR="005A0FCC" w:rsidRPr="00B95125" w:rsidTr="00B50D71">
        <w:tc>
          <w:tcPr>
            <w:tcW w:w="3935" w:type="dxa"/>
            <w:vMerge/>
          </w:tcPr>
          <w:p w:rsidR="005A0FCC" w:rsidRPr="00B95125" w:rsidRDefault="005A0FCC" w:rsidP="00157952">
            <w:pPr>
              <w:pStyle w:val="ListParagraph"/>
              <w:keepNext/>
              <w:spacing w:after="120"/>
              <w:ind w:left="0"/>
              <w:rPr>
                <w:rFonts w:ascii="Arial" w:hAnsi="Arial" w:cs="Arial"/>
                <w:b/>
              </w:rPr>
            </w:pPr>
          </w:p>
        </w:tc>
        <w:tc>
          <w:tcPr>
            <w:tcW w:w="894" w:type="dxa"/>
          </w:tcPr>
          <w:p w:rsidR="005A0FCC" w:rsidRPr="00B95125" w:rsidRDefault="005A0FCC" w:rsidP="00157952">
            <w:pPr>
              <w:pStyle w:val="ListParagraph"/>
              <w:keepNext/>
              <w:spacing w:after="120"/>
              <w:ind w:left="0"/>
              <w:rPr>
                <w:rFonts w:ascii="Arial" w:hAnsi="Arial" w:cs="Arial"/>
                <w:b/>
              </w:rPr>
            </w:pPr>
            <w:r w:rsidRPr="00B95125">
              <w:rPr>
                <w:rFonts w:ascii="Arial" w:hAnsi="Arial" w:cs="Arial"/>
                <w:b/>
              </w:rPr>
              <w:t>New</w:t>
            </w:r>
          </w:p>
        </w:tc>
        <w:tc>
          <w:tcPr>
            <w:tcW w:w="148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2.2</w:t>
            </w:r>
          </w:p>
        </w:tc>
        <w:tc>
          <w:tcPr>
            <w:tcW w:w="1577"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2.5</w:t>
            </w:r>
          </w:p>
        </w:tc>
        <w:tc>
          <w:tcPr>
            <w:tcW w:w="1536" w:type="dxa"/>
          </w:tcPr>
          <w:p w:rsidR="005A0FCC" w:rsidRPr="00B95125" w:rsidRDefault="005A0FCC" w:rsidP="00157952">
            <w:pPr>
              <w:pStyle w:val="ListParagraph"/>
              <w:keepNext/>
              <w:spacing w:after="120"/>
              <w:ind w:left="0"/>
              <w:jc w:val="center"/>
              <w:rPr>
                <w:rFonts w:ascii="Arial" w:hAnsi="Arial" w:cs="Arial"/>
              </w:rPr>
            </w:pPr>
            <w:r w:rsidRPr="00B95125">
              <w:rPr>
                <w:rFonts w:ascii="Arial" w:hAnsi="Arial" w:cs="Arial"/>
              </w:rPr>
              <w:t>3.1</w:t>
            </w:r>
          </w:p>
        </w:tc>
      </w:tr>
    </w:tbl>
    <w:p w:rsidR="00701641" w:rsidRPr="00B95125" w:rsidRDefault="00701641" w:rsidP="00157952">
      <w:pPr>
        <w:pStyle w:val="ListParagraph"/>
        <w:keepNext/>
        <w:spacing w:after="120"/>
        <w:ind w:left="426"/>
        <w:rPr>
          <w:rFonts w:ascii="Arial" w:hAnsi="Arial" w:cs="Arial"/>
        </w:rPr>
      </w:pPr>
    </w:p>
    <w:p w:rsidR="00F4205E" w:rsidRPr="00B95125" w:rsidRDefault="00F4205E" w:rsidP="00B50D71">
      <w:pPr>
        <w:pStyle w:val="ListParagraph"/>
        <w:spacing w:after="120"/>
        <w:ind w:left="426"/>
        <w:rPr>
          <w:rFonts w:ascii="Arial" w:hAnsi="Arial" w:cs="Arial"/>
        </w:rPr>
      </w:pPr>
      <w:r w:rsidRPr="00B95125">
        <w:rPr>
          <w:rFonts w:ascii="Arial" w:hAnsi="Arial" w:cs="Arial"/>
        </w:rPr>
        <w:t xml:space="preserve">Changes would need to be included in Appendix 3.1 including Tables </w:t>
      </w:r>
      <w:r w:rsidR="005A0FCC" w:rsidRPr="00B95125">
        <w:rPr>
          <w:rFonts w:ascii="Arial" w:hAnsi="Arial" w:cs="Arial"/>
        </w:rPr>
        <w:t xml:space="preserve">A3.3 and 3.6. </w:t>
      </w:r>
    </w:p>
    <w:p w:rsidR="006D0844" w:rsidRPr="00B95125" w:rsidRDefault="006D0844" w:rsidP="00B50D71">
      <w:pPr>
        <w:pStyle w:val="ListParagraph"/>
        <w:spacing w:after="120"/>
        <w:ind w:left="426"/>
        <w:rPr>
          <w:rFonts w:ascii="Arial" w:hAnsi="Arial" w:cs="Arial"/>
        </w:rPr>
      </w:pPr>
    </w:p>
    <w:p w:rsidR="00086632" w:rsidRDefault="00086632" w:rsidP="002E1803">
      <w:pPr>
        <w:spacing w:after="120"/>
        <w:ind w:left="426" w:hanging="426"/>
        <w:rPr>
          <w:rFonts w:ascii="Arial" w:hAnsi="Arial" w:cs="Arial"/>
          <w:b/>
        </w:rPr>
      </w:pPr>
    </w:p>
    <w:p w:rsidR="00DE660E" w:rsidRPr="00DE660E" w:rsidRDefault="00DE660E" w:rsidP="00DE660E">
      <w:pPr>
        <w:pStyle w:val="ListParagraph"/>
        <w:numPr>
          <w:ilvl w:val="0"/>
          <w:numId w:val="3"/>
        </w:numPr>
        <w:spacing w:after="120"/>
        <w:ind w:left="426" w:hanging="426"/>
        <w:rPr>
          <w:rFonts w:ascii="Arial" w:hAnsi="Arial" w:cs="Arial"/>
          <w:b/>
        </w:rPr>
      </w:pPr>
      <w:r w:rsidRPr="00DE660E">
        <w:rPr>
          <w:rFonts w:ascii="Arial" w:hAnsi="Arial" w:cs="Arial"/>
          <w:b/>
        </w:rPr>
        <w:t>REFERENCES</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t>Deere D and Khan SJ (2016). Collation and analysis of source water pathogen monitoring data. Report for NatVal 2.2 Subproject 4. http://www.australianwaterrecycling.com.au/research-publications.html (accessed 20 May 2017).</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t>Gibney KB, O’Toole J, Sinclair M and Leder K (2014) Disease burden of selected gastrointestinal pathogens in Australia. International Journal of Infectious Diseases 28: 176-185.</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t>King B, Fanok S, Phillips R, Lau M, Young F, van den Akker B, Monis P (2017). Cryptosporidium attenuation across the wastewater treatment train: Recycled water fit for purpose. Applied and Environmental Microbiology. 83:e03068.</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t>Medema G J, Teunis P F, Blokker M, Deere D, Davison A, Charles P and Loret J-F (2009) Risk Assessment of Cryptosporidium in Drinking Water. WHO, Geneva.</w:t>
      </w:r>
      <w:r w:rsidR="006D0844" w:rsidRPr="002E1803">
        <w:rPr>
          <w:rFonts w:ascii="Arial" w:hAnsi="Arial" w:cs="Arial"/>
          <w:sz w:val="20"/>
          <w:szCs w:val="20"/>
        </w:rPr>
        <w:t xml:space="preserve"> </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t>Navarro I, Jiménez B (2011) Evaluation of the WHO helminth eggs criteria using a QMRA approach for the safe reuse of wastewater and sludge in developing countries. Water Sci Technol 63:1499–1505.</w:t>
      </w:r>
    </w:p>
    <w:p w:rsidR="002E1803" w:rsidRPr="002E1803" w:rsidRDefault="002E1803" w:rsidP="002E1803">
      <w:pPr>
        <w:spacing w:after="240"/>
        <w:rPr>
          <w:rFonts w:ascii="Arial" w:eastAsia="Times New Roman" w:hAnsi="Arial" w:cs="Arial"/>
          <w:sz w:val="20"/>
          <w:szCs w:val="20"/>
        </w:rPr>
      </w:pPr>
      <w:r w:rsidRPr="002E1803">
        <w:rPr>
          <w:rFonts w:ascii="Arial" w:eastAsia="Times New Roman" w:hAnsi="Arial" w:cs="Arial"/>
          <w:sz w:val="20"/>
          <w:szCs w:val="20"/>
        </w:rPr>
        <w:t>Pouillot R, Van Doren JM, Woods J, Plante D, Smith M, Goblick G, Roberts C, Locas A, Hajen W, Stobo J, White J, Holtzman J, Buenaventura E, Burkhardt III W, Catford A, Edwards R, DePaola A, Calcib KR (2015) Meta-Analysis of the Reduction of Norovirus and Male-Specific Coliphage Concentrations in Wastewater Treatment Plants. Applied and Environmental Micro 81: 4669-4681.</w:t>
      </w:r>
    </w:p>
    <w:p w:rsidR="002E1803" w:rsidRPr="002E1803" w:rsidRDefault="002E1803" w:rsidP="002E1803">
      <w:pPr>
        <w:spacing w:after="240"/>
        <w:rPr>
          <w:rFonts w:ascii="Arial" w:eastAsia="Times New Roman" w:hAnsi="Arial" w:cs="Arial"/>
          <w:sz w:val="20"/>
          <w:szCs w:val="20"/>
        </w:rPr>
      </w:pPr>
      <w:r w:rsidRPr="002E1803">
        <w:rPr>
          <w:rFonts w:ascii="Arial" w:eastAsia="Times New Roman" w:hAnsi="Arial" w:cs="Arial"/>
          <w:sz w:val="20"/>
          <w:szCs w:val="20"/>
        </w:rPr>
        <w:t>Sinclair, M, Roddick, F, Nguyen, T, Jones, O, O'Toole, J, Wolfe R &amp; Leder, K (2014) The Car Wash Pilot Study: Simulating potential recycled water exposure. Research Report 3021, Water Research Australia.</w:t>
      </w:r>
    </w:p>
    <w:p w:rsidR="002E1803" w:rsidRPr="002E1803" w:rsidRDefault="002E1803" w:rsidP="002E1803">
      <w:pPr>
        <w:spacing w:after="240"/>
        <w:rPr>
          <w:rFonts w:ascii="Arial" w:eastAsia="Times New Roman" w:hAnsi="Arial" w:cs="Arial"/>
          <w:sz w:val="20"/>
          <w:szCs w:val="20"/>
        </w:rPr>
      </w:pPr>
      <w:r w:rsidRPr="002E1803">
        <w:rPr>
          <w:rFonts w:ascii="Arial" w:eastAsia="Times New Roman" w:hAnsi="Arial" w:cs="Arial"/>
          <w:sz w:val="20"/>
          <w:szCs w:val="20"/>
        </w:rPr>
        <w:t xml:space="preserve">Sinclair, M, Roddick, F, Nguyen, T, O'Toole, J &amp; Leder, K (2016) Measuring water ingestion from spray exposures. Water Research, 99:1-6. </w:t>
      </w:r>
    </w:p>
    <w:p w:rsidR="002E1803" w:rsidRPr="002E1803" w:rsidRDefault="002E1803" w:rsidP="002E1803">
      <w:pPr>
        <w:spacing w:after="120"/>
        <w:rPr>
          <w:rFonts w:ascii="Arial" w:hAnsi="Arial" w:cs="Arial"/>
          <w:sz w:val="20"/>
          <w:szCs w:val="20"/>
        </w:rPr>
      </w:pPr>
      <w:r w:rsidRPr="002E1803">
        <w:rPr>
          <w:rFonts w:ascii="Arial" w:hAnsi="Arial" w:cs="Arial"/>
          <w:sz w:val="20"/>
          <w:szCs w:val="20"/>
        </w:rPr>
        <w:lastRenderedPageBreak/>
        <w:t>Soller JA, Eftim SE, Warren I, Nappier SP (2016). Evaluation of microbiological risks associated with direct potable reuse. Microbial Risk Analysis. http://dx.doi.org/10.1016/j.mran.2016.08.003.</w:t>
      </w:r>
    </w:p>
    <w:sectPr w:rsidR="002E1803" w:rsidRPr="002E1803" w:rsidSect="000B16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FE3"/>
    <w:multiLevelType w:val="hybridMultilevel"/>
    <w:tmpl w:val="160C51C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DC20896"/>
    <w:multiLevelType w:val="hybridMultilevel"/>
    <w:tmpl w:val="1442A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A71F1"/>
    <w:multiLevelType w:val="hybridMultilevel"/>
    <w:tmpl w:val="B55E5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921443"/>
    <w:multiLevelType w:val="multilevel"/>
    <w:tmpl w:val="402AE744"/>
    <w:lvl w:ilvl="0">
      <w:start w:val="3"/>
      <w:numFmt w:val="decimal"/>
      <w:lvlText w:val="%1."/>
      <w:lvlJc w:val="left"/>
      <w:pPr>
        <w:ind w:left="786"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31D73958"/>
    <w:multiLevelType w:val="multilevel"/>
    <w:tmpl w:val="402AE744"/>
    <w:lvl w:ilvl="0">
      <w:start w:val="3"/>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nsid w:val="3D7C6FC0"/>
    <w:multiLevelType w:val="hybridMultilevel"/>
    <w:tmpl w:val="B93CCD8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4FFC4A38"/>
    <w:multiLevelType w:val="hybridMultilevel"/>
    <w:tmpl w:val="230CFE2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56BD4992"/>
    <w:multiLevelType w:val="hybridMultilevel"/>
    <w:tmpl w:val="5EC2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725D7C"/>
    <w:multiLevelType w:val="multilevel"/>
    <w:tmpl w:val="402AE744"/>
    <w:lvl w:ilvl="0">
      <w:start w:val="3"/>
      <w:numFmt w:val="decimal"/>
      <w:lvlText w:val="%1."/>
      <w:lvlJc w:val="left"/>
      <w:pPr>
        <w:ind w:left="1080" w:hanging="360"/>
      </w:pPr>
      <w:rPr>
        <w:rFonts w:hint="default"/>
      </w:rPr>
    </w:lvl>
    <w:lvl w:ilvl="1">
      <w:start w:val="1"/>
      <w:numFmt w:val="decimal"/>
      <w:lvlText w:val="%1.%2."/>
      <w:lvlJc w:val="left"/>
      <w:pPr>
        <w:ind w:left="1719"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7C56416A"/>
    <w:multiLevelType w:val="hybridMultilevel"/>
    <w:tmpl w:val="854E9A58"/>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0"/>
  </w:num>
  <w:num w:numId="6">
    <w:abstractNumId w:val="6"/>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23"/>
    <w:rsid w:val="00001A73"/>
    <w:rsid w:val="00024457"/>
    <w:rsid w:val="00086632"/>
    <w:rsid w:val="000A5053"/>
    <w:rsid w:val="000A6AEB"/>
    <w:rsid w:val="000B16CE"/>
    <w:rsid w:val="000E59D4"/>
    <w:rsid w:val="000F7392"/>
    <w:rsid w:val="00102781"/>
    <w:rsid w:val="00124D1C"/>
    <w:rsid w:val="00157952"/>
    <w:rsid w:val="001929EA"/>
    <w:rsid w:val="00193C81"/>
    <w:rsid w:val="001C1017"/>
    <w:rsid w:val="001E0576"/>
    <w:rsid w:val="001E713B"/>
    <w:rsid w:val="001F2059"/>
    <w:rsid w:val="002049B5"/>
    <w:rsid w:val="00206ED8"/>
    <w:rsid w:val="00221319"/>
    <w:rsid w:val="002320A9"/>
    <w:rsid w:val="00282EEB"/>
    <w:rsid w:val="002A63FC"/>
    <w:rsid w:val="002C6808"/>
    <w:rsid w:val="002D5CB3"/>
    <w:rsid w:val="002E1803"/>
    <w:rsid w:val="00315E00"/>
    <w:rsid w:val="00332C7A"/>
    <w:rsid w:val="00340C9F"/>
    <w:rsid w:val="003B07F2"/>
    <w:rsid w:val="003C45C4"/>
    <w:rsid w:val="00416DD2"/>
    <w:rsid w:val="00425070"/>
    <w:rsid w:val="00431913"/>
    <w:rsid w:val="0045443D"/>
    <w:rsid w:val="00461FD9"/>
    <w:rsid w:val="0046237A"/>
    <w:rsid w:val="00491F23"/>
    <w:rsid w:val="00497913"/>
    <w:rsid w:val="00525A83"/>
    <w:rsid w:val="00550208"/>
    <w:rsid w:val="00560A31"/>
    <w:rsid w:val="0057093D"/>
    <w:rsid w:val="00581E54"/>
    <w:rsid w:val="005A0FCC"/>
    <w:rsid w:val="005E065D"/>
    <w:rsid w:val="005F216D"/>
    <w:rsid w:val="00666969"/>
    <w:rsid w:val="00685ECB"/>
    <w:rsid w:val="00685F88"/>
    <w:rsid w:val="006A2D62"/>
    <w:rsid w:val="006D0844"/>
    <w:rsid w:val="006D71F0"/>
    <w:rsid w:val="006E7470"/>
    <w:rsid w:val="006F7896"/>
    <w:rsid w:val="00701641"/>
    <w:rsid w:val="007208FA"/>
    <w:rsid w:val="0077039F"/>
    <w:rsid w:val="007B22D8"/>
    <w:rsid w:val="007C78D5"/>
    <w:rsid w:val="007E1CE9"/>
    <w:rsid w:val="007E77F3"/>
    <w:rsid w:val="00811734"/>
    <w:rsid w:val="00883A78"/>
    <w:rsid w:val="008E3FFD"/>
    <w:rsid w:val="008F42C9"/>
    <w:rsid w:val="00904A2D"/>
    <w:rsid w:val="00910DA3"/>
    <w:rsid w:val="009250AD"/>
    <w:rsid w:val="0092741D"/>
    <w:rsid w:val="009515F1"/>
    <w:rsid w:val="00973DA0"/>
    <w:rsid w:val="00994D8A"/>
    <w:rsid w:val="009A7038"/>
    <w:rsid w:val="009D2FAA"/>
    <w:rsid w:val="009F714D"/>
    <w:rsid w:val="00A158C5"/>
    <w:rsid w:val="00A16C64"/>
    <w:rsid w:val="00A85D76"/>
    <w:rsid w:val="00A92350"/>
    <w:rsid w:val="00AA1145"/>
    <w:rsid w:val="00B00812"/>
    <w:rsid w:val="00B207A6"/>
    <w:rsid w:val="00B472D5"/>
    <w:rsid w:val="00B50D71"/>
    <w:rsid w:val="00B95125"/>
    <w:rsid w:val="00BB00F1"/>
    <w:rsid w:val="00BB2944"/>
    <w:rsid w:val="00BC2532"/>
    <w:rsid w:val="00BC5154"/>
    <w:rsid w:val="00BE6282"/>
    <w:rsid w:val="00BF09FD"/>
    <w:rsid w:val="00C64B85"/>
    <w:rsid w:val="00C8031F"/>
    <w:rsid w:val="00C85BC3"/>
    <w:rsid w:val="00CA7638"/>
    <w:rsid w:val="00CE4273"/>
    <w:rsid w:val="00CE4AA6"/>
    <w:rsid w:val="00D10B6D"/>
    <w:rsid w:val="00D41748"/>
    <w:rsid w:val="00D42D0F"/>
    <w:rsid w:val="00D50A98"/>
    <w:rsid w:val="00D56E83"/>
    <w:rsid w:val="00D73825"/>
    <w:rsid w:val="00D81C1A"/>
    <w:rsid w:val="00D85556"/>
    <w:rsid w:val="00D94808"/>
    <w:rsid w:val="00DB5377"/>
    <w:rsid w:val="00DE660E"/>
    <w:rsid w:val="00E1114C"/>
    <w:rsid w:val="00E72299"/>
    <w:rsid w:val="00E7327F"/>
    <w:rsid w:val="00E75062"/>
    <w:rsid w:val="00E871CE"/>
    <w:rsid w:val="00EA554D"/>
    <w:rsid w:val="00ED5938"/>
    <w:rsid w:val="00F128A3"/>
    <w:rsid w:val="00F4205E"/>
    <w:rsid w:val="00F82751"/>
    <w:rsid w:val="00FB1BE2"/>
    <w:rsid w:val="00FC01FB"/>
    <w:rsid w:val="00FD5426"/>
    <w:rsid w:val="00FE2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1F23"/>
    <w:pPr>
      <w:spacing w:after="0" w:line="240" w:lineRule="auto"/>
    </w:pPr>
  </w:style>
  <w:style w:type="paragraph" w:styleId="Heading2">
    <w:name w:val="heading 2"/>
    <w:basedOn w:val="Normal"/>
    <w:next w:val="Normal"/>
    <w:link w:val="Heading2Char"/>
    <w:uiPriority w:val="9"/>
    <w:semiHidden/>
    <w:unhideWhenUsed/>
    <w:qFormat/>
    <w:rsid w:val="0033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73"/>
    <w:pPr>
      <w:ind w:left="720"/>
      <w:contextualSpacing/>
    </w:pPr>
  </w:style>
  <w:style w:type="character" w:customStyle="1" w:styleId="Heading2Char">
    <w:name w:val="Heading 2 Char"/>
    <w:basedOn w:val="DefaultParagraphFont"/>
    <w:link w:val="Heading2"/>
    <w:uiPriority w:val="9"/>
    <w:semiHidden/>
    <w:rsid w:val="00332C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C81"/>
    <w:rPr>
      <w:rFonts w:ascii="Tahoma" w:hAnsi="Tahoma" w:cs="Tahoma"/>
      <w:sz w:val="16"/>
      <w:szCs w:val="16"/>
    </w:rPr>
  </w:style>
  <w:style w:type="character" w:customStyle="1" w:styleId="BalloonTextChar">
    <w:name w:val="Balloon Text Char"/>
    <w:basedOn w:val="DefaultParagraphFont"/>
    <w:link w:val="BalloonText"/>
    <w:uiPriority w:val="99"/>
    <w:semiHidden/>
    <w:rsid w:val="00193C81"/>
    <w:rPr>
      <w:rFonts w:ascii="Tahoma" w:hAnsi="Tahoma" w:cs="Tahoma"/>
      <w:sz w:val="16"/>
      <w:szCs w:val="16"/>
    </w:rPr>
  </w:style>
  <w:style w:type="character" w:styleId="CommentReference">
    <w:name w:val="annotation reference"/>
    <w:basedOn w:val="DefaultParagraphFont"/>
    <w:uiPriority w:val="99"/>
    <w:semiHidden/>
    <w:unhideWhenUsed/>
    <w:rsid w:val="008E3FFD"/>
    <w:rPr>
      <w:sz w:val="16"/>
      <w:szCs w:val="16"/>
    </w:rPr>
  </w:style>
  <w:style w:type="paragraph" w:styleId="CommentText">
    <w:name w:val="annotation text"/>
    <w:basedOn w:val="Normal"/>
    <w:link w:val="CommentTextChar"/>
    <w:uiPriority w:val="99"/>
    <w:semiHidden/>
    <w:unhideWhenUsed/>
    <w:rsid w:val="008E3FFD"/>
    <w:rPr>
      <w:sz w:val="20"/>
      <w:szCs w:val="20"/>
    </w:rPr>
  </w:style>
  <w:style w:type="character" w:customStyle="1" w:styleId="CommentTextChar">
    <w:name w:val="Comment Text Char"/>
    <w:basedOn w:val="DefaultParagraphFont"/>
    <w:link w:val="CommentText"/>
    <w:uiPriority w:val="99"/>
    <w:semiHidden/>
    <w:rsid w:val="008E3FFD"/>
    <w:rPr>
      <w:sz w:val="20"/>
      <w:szCs w:val="20"/>
    </w:rPr>
  </w:style>
  <w:style w:type="paragraph" w:styleId="CommentSubject">
    <w:name w:val="annotation subject"/>
    <w:basedOn w:val="CommentText"/>
    <w:next w:val="CommentText"/>
    <w:link w:val="CommentSubjectChar"/>
    <w:uiPriority w:val="99"/>
    <w:semiHidden/>
    <w:unhideWhenUsed/>
    <w:rsid w:val="008E3FFD"/>
    <w:rPr>
      <w:b/>
      <w:bCs/>
    </w:rPr>
  </w:style>
  <w:style w:type="character" w:customStyle="1" w:styleId="CommentSubjectChar">
    <w:name w:val="Comment Subject Char"/>
    <w:basedOn w:val="CommentTextChar"/>
    <w:link w:val="CommentSubject"/>
    <w:uiPriority w:val="99"/>
    <w:semiHidden/>
    <w:rsid w:val="008E3FFD"/>
    <w:rPr>
      <w:b/>
      <w:bCs/>
      <w:sz w:val="20"/>
      <w:szCs w:val="20"/>
    </w:rPr>
  </w:style>
  <w:style w:type="paragraph" w:styleId="Revision">
    <w:name w:val="Revision"/>
    <w:hidden/>
    <w:uiPriority w:val="99"/>
    <w:semiHidden/>
    <w:rsid w:val="00ED5938"/>
    <w:pPr>
      <w:spacing w:after="0" w:line="240" w:lineRule="auto"/>
    </w:pPr>
  </w:style>
  <w:style w:type="character" w:styleId="Hyperlink">
    <w:name w:val="Hyperlink"/>
    <w:basedOn w:val="DefaultParagraphFont"/>
    <w:uiPriority w:val="99"/>
    <w:semiHidden/>
    <w:unhideWhenUsed/>
    <w:rsid w:val="003C45C4"/>
    <w:rPr>
      <w:color w:val="0000FF"/>
      <w:u w:val="single"/>
    </w:rPr>
  </w:style>
  <w:style w:type="character" w:styleId="FollowedHyperlink">
    <w:name w:val="FollowedHyperlink"/>
    <w:basedOn w:val="DefaultParagraphFont"/>
    <w:uiPriority w:val="99"/>
    <w:semiHidden/>
    <w:unhideWhenUsed/>
    <w:rsid w:val="003C45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1F23"/>
    <w:pPr>
      <w:spacing w:after="0" w:line="240" w:lineRule="auto"/>
    </w:pPr>
  </w:style>
  <w:style w:type="paragraph" w:styleId="Heading2">
    <w:name w:val="heading 2"/>
    <w:basedOn w:val="Normal"/>
    <w:next w:val="Normal"/>
    <w:link w:val="Heading2Char"/>
    <w:uiPriority w:val="9"/>
    <w:semiHidden/>
    <w:unhideWhenUsed/>
    <w:qFormat/>
    <w:rsid w:val="0033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73"/>
    <w:pPr>
      <w:ind w:left="720"/>
      <w:contextualSpacing/>
    </w:pPr>
  </w:style>
  <w:style w:type="character" w:customStyle="1" w:styleId="Heading2Char">
    <w:name w:val="Heading 2 Char"/>
    <w:basedOn w:val="DefaultParagraphFont"/>
    <w:link w:val="Heading2"/>
    <w:uiPriority w:val="9"/>
    <w:semiHidden/>
    <w:rsid w:val="00332C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C81"/>
    <w:rPr>
      <w:rFonts w:ascii="Tahoma" w:hAnsi="Tahoma" w:cs="Tahoma"/>
      <w:sz w:val="16"/>
      <w:szCs w:val="16"/>
    </w:rPr>
  </w:style>
  <w:style w:type="character" w:customStyle="1" w:styleId="BalloonTextChar">
    <w:name w:val="Balloon Text Char"/>
    <w:basedOn w:val="DefaultParagraphFont"/>
    <w:link w:val="BalloonText"/>
    <w:uiPriority w:val="99"/>
    <w:semiHidden/>
    <w:rsid w:val="00193C81"/>
    <w:rPr>
      <w:rFonts w:ascii="Tahoma" w:hAnsi="Tahoma" w:cs="Tahoma"/>
      <w:sz w:val="16"/>
      <w:szCs w:val="16"/>
    </w:rPr>
  </w:style>
  <w:style w:type="character" w:styleId="CommentReference">
    <w:name w:val="annotation reference"/>
    <w:basedOn w:val="DefaultParagraphFont"/>
    <w:uiPriority w:val="99"/>
    <w:semiHidden/>
    <w:unhideWhenUsed/>
    <w:rsid w:val="008E3FFD"/>
    <w:rPr>
      <w:sz w:val="16"/>
      <w:szCs w:val="16"/>
    </w:rPr>
  </w:style>
  <w:style w:type="paragraph" w:styleId="CommentText">
    <w:name w:val="annotation text"/>
    <w:basedOn w:val="Normal"/>
    <w:link w:val="CommentTextChar"/>
    <w:uiPriority w:val="99"/>
    <w:semiHidden/>
    <w:unhideWhenUsed/>
    <w:rsid w:val="008E3FFD"/>
    <w:rPr>
      <w:sz w:val="20"/>
      <w:szCs w:val="20"/>
    </w:rPr>
  </w:style>
  <w:style w:type="character" w:customStyle="1" w:styleId="CommentTextChar">
    <w:name w:val="Comment Text Char"/>
    <w:basedOn w:val="DefaultParagraphFont"/>
    <w:link w:val="CommentText"/>
    <w:uiPriority w:val="99"/>
    <w:semiHidden/>
    <w:rsid w:val="008E3FFD"/>
    <w:rPr>
      <w:sz w:val="20"/>
      <w:szCs w:val="20"/>
    </w:rPr>
  </w:style>
  <w:style w:type="paragraph" w:styleId="CommentSubject">
    <w:name w:val="annotation subject"/>
    <w:basedOn w:val="CommentText"/>
    <w:next w:val="CommentText"/>
    <w:link w:val="CommentSubjectChar"/>
    <w:uiPriority w:val="99"/>
    <w:semiHidden/>
    <w:unhideWhenUsed/>
    <w:rsid w:val="008E3FFD"/>
    <w:rPr>
      <w:b/>
      <w:bCs/>
    </w:rPr>
  </w:style>
  <w:style w:type="character" w:customStyle="1" w:styleId="CommentSubjectChar">
    <w:name w:val="Comment Subject Char"/>
    <w:basedOn w:val="CommentTextChar"/>
    <w:link w:val="CommentSubject"/>
    <w:uiPriority w:val="99"/>
    <w:semiHidden/>
    <w:rsid w:val="008E3FFD"/>
    <w:rPr>
      <w:b/>
      <w:bCs/>
      <w:sz w:val="20"/>
      <w:szCs w:val="20"/>
    </w:rPr>
  </w:style>
  <w:style w:type="paragraph" w:styleId="Revision">
    <w:name w:val="Revision"/>
    <w:hidden/>
    <w:uiPriority w:val="99"/>
    <w:semiHidden/>
    <w:rsid w:val="00ED5938"/>
    <w:pPr>
      <w:spacing w:after="0" w:line="240" w:lineRule="auto"/>
    </w:pPr>
  </w:style>
  <w:style w:type="character" w:styleId="Hyperlink">
    <w:name w:val="Hyperlink"/>
    <w:basedOn w:val="DefaultParagraphFont"/>
    <w:uiPriority w:val="99"/>
    <w:semiHidden/>
    <w:unhideWhenUsed/>
    <w:rsid w:val="003C45C4"/>
    <w:rPr>
      <w:color w:val="0000FF"/>
      <w:u w:val="single"/>
    </w:rPr>
  </w:style>
  <w:style w:type="character" w:styleId="FollowedHyperlink">
    <w:name w:val="FollowedHyperlink"/>
    <w:basedOn w:val="DefaultParagraphFont"/>
    <w:uiPriority w:val="99"/>
    <w:semiHidden/>
    <w:unhideWhenUsed/>
    <w:rsid w:val="003C4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quality.gov.au/guidelines/recycled-w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Cunliffe, David</dc:creator>
  <cp:lastModifiedBy>Cunliffe, David</cp:lastModifiedBy>
  <cp:revision>9</cp:revision>
  <cp:lastPrinted>2020-01-31T03:32:00Z</cp:lastPrinted>
  <dcterms:created xsi:type="dcterms:W3CDTF">2020-01-31T01:58:00Z</dcterms:created>
  <dcterms:modified xsi:type="dcterms:W3CDTF">2020-01-31T03:40:00Z</dcterms:modified>
</cp:coreProperties>
</file>