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B6" w:rsidRDefault="00234EA7">
      <w:pPr>
        <w:pStyle w:val="docsubject"/>
      </w:pPr>
      <w:bookmarkStart w:id="0" w:name="_GoBack"/>
      <w:bookmarkEnd w:id="0"/>
      <w:r>
        <w:t>Public consultation</w:t>
      </w:r>
    </w:p>
    <w:p w:rsidR="00FF66B6" w:rsidRPr="00120A09" w:rsidRDefault="00BA6136" w:rsidP="00120A09">
      <w:pPr>
        <w:pStyle w:val="Title"/>
      </w:pPr>
      <w:r>
        <w:t xml:space="preserve">Public consultation – </w:t>
      </w:r>
      <w:r w:rsidR="00FD7EEB">
        <w:t>D</w:t>
      </w:r>
      <w:r>
        <w:t>raft ERA standards for certain prescribed ERAs</w:t>
      </w:r>
    </w:p>
    <w:p w:rsidR="00BA6136" w:rsidRDefault="00EB086E">
      <w:pPr>
        <w:pStyle w:val="docpurpose"/>
      </w:pPr>
      <w:r>
        <w:t xml:space="preserve">This </w:t>
      </w:r>
      <w:r w:rsidR="00BA6136">
        <w:t>template can be used to provide feedback on the draft environmentally relevant activity (ERA) standards (including eligibility criteria and standard conditions) for certain prescribed ERAs</w:t>
      </w:r>
      <w:r w:rsidR="007460E3">
        <w:rPr>
          <w:rStyle w:val="FootnoteReference"/>
          <w:b/>
        </w:rPr>
        <w:footnoteReference w:id="1"/>
      </w:r>
      <w:r w:rsidR="00BA6136">
        <w:t>.</w:t>
      </w:r>
    </w:p>
    <w:tbl>
      <w:tblPr>
        <w:tblStyle w:val="TableGrid"/>
        <w:tblW w:w="0" w:type="auto"/>
        <w:tblLook w:val="04A0" w:firstRow="1" w:lastRow="0" w:firstColumn="1" w:lastColumn="0" w:noHBand="0" w:noVBand="1"/>
      </w:tblPr>
      <w:tblGrid>
        <w:gridCol w:w="1694"/>
        <w:gridCol w:w="3961"/>
        <w:gridCol w:w="4482"/>
      </w:tblGrid>
      <w:tr w:rsidR="009130C5" w:rsidTr="00B857FF">
        <w:tc>
          <w:tcPr>
            <w:tcW w:w="1694" w:type="dxa"/>
            <w:tcBorders>
              <w:top w:val="single" w:sz="4" w:space="0" w:color="auto"/>
              <w:left w:val="single" w:sz="4" w:space="0" w:color="auto"/>
              <w:bottom w:val="single" w:sz="4" w:space="0" w:color="auto"/>
              <w:right w:val="single" w:sz="4" w:space="0" w:color="auto"/>
            </w:tcBorders>
          </w:tcPr>
          <w:p w:rsidR="009130C5" w:rsidRPr="00BA6136" w:rsidRDefault="009130C5" w:rsidP="00BA6136">
            <w:pPr>
              <w:pStyle w:val="textnormal"/>
              <w:rPr>
                <w:b/>
              </w:rPr>
            </w:pPr>
            <w:r w:rsidRPr="00BA6136">
              <w:rPr>
                <w:b/>
              </w:rPr>
              <w:t>Reviewer</w:t>
            </w:r>
            <w:r>
              <w:rPr>
                <w:rStyle w:val="FootnoteReference"/>
                <w:b/>
              </w:rPr>
              <w:footnoteReference w:id="2"/>
            </w:r>
            <w:r>
              <w:rPr>
                <w:b/>
              </w:rPr>
              <w:t xml:space="preserve"> </w:t>
            </w:r>
            <w:r w:rsidRPr="000C6247">
              <w:rPr>
                <w:i/>
              </w:rPr>
              <w:t>(optional)</w:t>
            </w:r>
            <w:r w:rsidRPr="00BA6136">
              <w:rPr>
                <w:b/>
              </w:rPr>
              <w:t>:</w:t>
            </w:r>
          </w:p>
        </w:tc>
        <w:tc>
          <w:tcPr>
            <w:tcW w:w="8443" w:type="dxa"/>
            <w:gridSpan w:val="2"/>
            <w:tcBorders>
              <w:top w:val="single" w:sz="4" w:space="0" w:color="auto"/>
              <w:left w:val="single" w:sz="4" w:space="0" w:color="auto"/>
              <w:bottom w:val="single" w:sz="4" w:space="0" w:color="auto"/>
              <w:right w:val="single" w:sz="4" w:space="0" w:color="auto"/>
            </w:tcBorders>
          </w:tcPr>
          <w:p w:rsidR="009130C5" w:rsidRPr="007460E3" w:rsidRDefault="00077D97" w:rsidP="007914D6">
            <w:pPr>
              <w:pStyle w:val="textnormal"/>
              <w:rPr>
                <w:i/>
                <w:color w:val="808080" w:themeColor="background1" w:themeShade="80"/>
              </w:rPr>
            </w:pPr>
            <w:r>
              <w:rPr>
                <w:color w:val="808080" w:themeColor="background1" w:themeShade="80"/>
              </w:rPr>
              <w:t xml:space="preserve">Queensland Water Directorate </w:t>
            </w:r>
            <w:r w:rsidR="007914D6">
              <w:rPr>
                <w:color w:val="808080" w:themeColor="background1" w:themeShade="80"/>
              </w:rPr>
              <w:t>(</w:t>
            </w:r>
            <w:r w:rsidR="007914D6" w:rsidRPr="007914D6">
              <w:rPr>
                <w:b/>
                <w:i/>
                <w:color w:val="808080" w:themeColor="background1" w:themeShade="80"/>
              </w:rPr>
              <w:t>qldwater</w:t>
            </w:r>
            <w:r w:rsidR="007914D6">
              <w:rPr>
                <w:color w:val="808080" w:themeColor="background1" w:themeShade="80"/>
              </w:rPr>
              <w:t xml:space="preserve">) </w:t>
            </w:r>
            <w:r w:rsidR="00D258CA">
              <w:rPr>
                <w:color w:val="808080" w:themeColor="background1" w:themeShade="80"/>
              </w:rPr>
              <w:t xml:space="preserve">integrating responses from </w:t>
            </w:r>
            <w:r>
              <w:rPr>
                <w:color w:val="808080" w:themeColor="background1" w:themeShade="80"/>
              </w:rPr>
              <w:t>urban sewerage service providers</w:t>
            </w:r>
            <w:r w:rsidR="007914D6">
              <w:rPr>
                <w:color w:val="808080" w:themeColor="background1" w:themeShade="80"/>
              </w:rPr>
              <w:t xml:space="preserve"> across the State.</w:t>
            </w:r>
          </w:p>
        </w:tc>
      </w:tr>
      <w:tr w:rsidR="009130C5" w:rsidTr="009130C5">
        <w:trPr>
          <w:trHeight w:val="414"/>
        </w:trPr>
        <w:tc>
          <w:tcPr>
            <w:tcW w:w="1694" w:type="dxa"/>
            <w:tcBorders>
              <w:top w:val="single" w:sz="4" w:space="0" w:color="auto"/>
            </w:tcBorders>
          </w:tcPr>
          <w:p w:rsidR="009130C5" w:rsidRPr="007460E3" w:rsidRDefault="009130C5" w:rsidP="007460E3">
            <w:pPr>
              <w:pStyle w:val="textnormal"/>
              <w:spacing w:after="0"/>
              <w:rPr>
                <w:color w:val="808080" w:themeColor="background1" w:themeShade="80"/>
              </w:rPr>
            </w:pPr>
            <w:r w:rsidRPr="00BA6136">
              <w:rPr>
                <w:b/>
              </w:rPr>
              <w:t>ERA number</w:t>
            </w:r>
          </w:p>
        </w:tc>
        <w:tc>
          <w:tcPr>
            <w:tcW w:w="3961" w:type="dxa"/>
            <w:tcBorders>
              <w:top w:val="single" w:sz="4" w:space="0" w:color="auto"/>
            </w:tcBorders>
          </w:tcPr>
          <w:p w:rsidR="009130C5" w:rsidRPr="009130C5" w:rsidRDefault="009130C5" w:rsidP="009130C5">
            <w:pPr>
              <w:pStyle w:val="textnormal"/>
            </w:pPr>
            <w:r>
              <w:rPr>
                <w:b/>
              </w:rPr>
              <w:t>Reference</w:t>
            </w:r>
            <w:r>
              <w:t xml:space="preserve"> </w:t>
            </w:r>
          </w:p>
        </w:tc>
        <w:tc>
          <w:tcPr>
            <w:tcW w:w="4482" w:type="dxa"/>
            <w:tcBorders>
              <w:top w:val="single" w:sz="4" w:space="0" w:color="auto"/>
            </w:tcBorders>
          </w:tcPr>
          <w:p w:rsidR="009130C5" w:rsidRPr="007460E3" w:rsidRDefault="009130C5" w:rsidP="00BA6136">
            <w:pPr>
              <w:pStyle w:val="textnormal"/>
              <w:rPr>
                <w:color w:val="808080" w:themeColor="background1" w:themeShade="80"/>
              </w:rPr>
            </w:pPr>
            <w:r w:rsidRPr="00BA6136">
              <w:rPr>
                <w:b/>
              </w:rPr>
              <w:t>Comments</w:t>
            </w:r>
          </w:p>
        </w:tc>
      </w:tr>
      <w:tr w:rsidR="009130C5" w:rsidTr="009130C5">
        <w:trPr>
          <w:trHeight w:val="842"/>
        </w:trPr>
        <w:tc>
          <w:tcPr>
            <w:tcW w:w="1694" w:type="dxa"/>
          </w:tcPr>
          <w:p w:rsidR="009130C5" w:rsidRPr="007460E3" w:rsidRDefault="00F159A7" w:rsidP="00BA6136">
            <w:pPr>
              <w:pStyle w:val="textnormal"/>
              <w:rPr>
                <w:color w:val="808080" w:themeColor="background1" w:themeShade="80"/>
              </w:rPr>
            </w:pPr>
            <w:r w:rsidRPr="00F159A7">
              <w:rPr>
                <w:color w:val="808080" w:themeColor="background1" w:themeShade="80"/>
              </w:rPr>
              <w:t>ERA 63(2)</w:t>
            </w:r>
          </w:p>
        </w:tc>
        <w:tc>
          <w:tcPr>
            <w:tcW w:w="3961" w:type="dxa"/>
          </w:tcPr>
          <w:p w:rsidR="009130C5" w:rsidRPr="007460E3" w:rsidRDefault="00F159A7" w:rsidP="00BA6136">
            <w:pPr>
              <w:pStyle w:val="textnormal"/>
              <w:rPr>
                <w:color w:val="808080" w:themeColor="background1" w:themeShade="80"/>
              </w:rPr>
            </w:pPr>
            <w:r>
              <w:rPr>
                <w:color w:val="808080"/>
              </w:rPr>
              <w:t>General</w:t>
            </w:r>
          </w:p>
        </w:tc>
        <w:tc>
          <w:tcPr>
            <w:tcW w:w="4482" w:type="dxa"/>
          </w:tcPr>
          <w:p w:rsidR="009130C5" w:rsidRPr="007460E3" w:rsidRDefault="00F159A7" w:rsidP="00EB2DCC">
            <w:pPr>
              <w:pStyle w:val="textnormal"/>
              <w:rPr>
                <w:color w:val="808080" w:themeColor="background1" w:themeShade="80"/>
              </w:rPr>
            </w:pPr>
            <w:r w:rsidRPr="00F159A7">
              <w:rPr>
                <w:color w:val="808080" w:themeColor="background1" w:themeShade="80"/>
              </w:rPr>
              <w:t>The “Code of environmental compliance for certain aspects of sewage treatment activities (ERA 63)”</w:t>
            </w:r>
            <w:r w:rsidR="007914D6">
              <w:rPr>
                <w:color w:val="808080" w:themeColor="background1" w:themeShade="80"/>
              </w:rPr>
              <w:t xml:space="preserve"> (</w:t>
            </w:r>
            <w:proofErr w:type="spellStart"/>
            <w:r w:rsidR="007914D6">
              <w:rPr>
                <w:color w:val="808080" w:themeColor="background1" w:themeShade="80"/>
              </w:rPr>
              <w:t>CoC</w:t>
            </w:r>
            <w:proofErr w:type="spellEnd"/>
            <w:r w:rsidR="007914D6">
              <w:rPr>
                <w:color w:val="808080" w:themeColor="background1" w:themeShade="80"/>
              </w:rPr>
              <w:t>)</w:t>
            </w:r>
            <w:r w:rsidRPr="00F159A7">
              <w:rPr>
                <w:color w:val="808080" w:themeColor="background1" w:themeShade="80"/>
              </w:rPr>
              <w:t xml:space="preserve"> included a column of advice next to each standard condition to assist with the interpretation of the standard condition. The draft ERA 63 Standard does not include this advice column and as a result the meaning of the standard conditions is different and in some cases unacceptable. For example, in the Code of environmental compliance, standard condition 10 is accompanied by advice that states: “overflows may occur in wet weather when the design capacity of the sewerage system is exceeded”. As the draft ERA 63 Standard does not include this advice, standard condition 10 is likely to be interpreted much more narrowly such that all wet weather overflows would be considered a breach of the condition.    </w:t>
            </w:r>
          </w:p>
        </w:tc>
      </w:tr>
      <w:tr w:rsidR="009130C5" w:rsidTr="009130C5">
        <w:trPr>
          <w:trHeight w:val="842"/>
        </w:trPr>
        <w:tc>
          <w:tcPr>
            <w:tcW w:w="1694" w:type="dxa"/>
          </w:tcPr>
          <w:p w:rsidR="009130C5" w:rsidRPr="007460E3" w:rsidRDefault="009130C5" w:rsidP="00B857FF">
            <w:pPr>
              <w:pStyle w:val="textnormal"/>
              <w:rPr>
                <w:color w:val="808080" w:themeColor="background1" w:themeShade="80"/>
              </w:rPr>
            </w:pPr>
          </w:p>
        </w:tc>
        <w:tc>
          <w:tcPr>
            <w:tcW w:w="3961" w:type="dxa"/>
          </w:tcPr>
          <w:p w:rsidR="009130C5" w:rsidRPr="007460E3" w:rsidRDefault="00F159A7" w:rsidP="00B857FF">
            <w:pPr>
              <w:pStyle w:val="textnormal"/>
              <w:rPr>
                <w:color w:val="808080" w:themeColor="background1" w:themeShade="80"/>
              </w:rPr>
            </w:pPr>
            <w:r w:rsidRPr="00F159A7">
              <w:rPr>
                <w:color w:val="808080" w:themeColor="background1" w:themeShade="80"/>
              </w:rPr>
              <w:t>Standard conditions 4, 5, 6, 7, 10 and 11</w:t>
            </w:r>
          </w:p>
        </w:tc>
        <w:tc>
          <w:tcPr>
            <w:tcW w:w="4482" w:type="dxa"/>
          </w:tcPr>
          <w:p w:rsidR="00F159A7" w:rsidRPr="00F159A7" w:rsidRDefault="007914D6" w:rsidP="00F159A7">
            <w:pPr>
              <w:pStyle w:val="textnormal"/>
              <w:rPr>
                <w:color w:val="808080" w:themeColor="background1" w:themeShade="80"/>
              </w:rPr>
            </w:pPr>
            <w:r>
              <w:rPr>
                <w:color w:val="808080" w:themeColor="background1" w:themeShade="80"/>
              </w:rPr>
              <w:t>S</w:t>
            </w:r>
            <w:r w:rsidR="00F159A7" w:rsidRPr="00F159A7">
              <w:rPr>
                <w:color w:val="808080" w:themeColor="background1" w:themeShade="80"/>
              </w:rPr>
              <w:t xml:space="preserve">hould be amended in accordance with the position agreed between </w:t>
            </w:r>
            <w:r w:rsidRPr="007914D6">
              <w:rPr>
                <w:b/>
                <w:i/>
                <w:color w:val="808080" w:themeColor="background1" w:themeShade="80"/>
              </w:rPr>
              <w:t>qldwater</w:t>
            </w:r>
            <w:r w:rsidR="00F159A7" w:rsidRPr="00F159A7">
              <w:rPr>
                <w:color w:val="808080" w:themeColor="background1" w:themeShade="80"/>
              </w:rPr>
              <w:t xml:space="preserve"> and DEHP in the </w:t>
            </w:r>
            <w:r w:rsidR="00E8050E">
              <w:rPr>
                <w:color w:val="808080" w:themeColor="background1" w:themeShade="80"/>
              </w:rPr>
              <w:t xml:space="preserve">attached </w:t>
            </w:r>
            <w:r w:rsidR="00F159A7" w:rsidRPr="00F159A7">
              <w:rPr>
                <w:color w:val="808080" w:themeColor="background1" w:themeShade="80"/>
              </w:rPr>
              <w:t>correspondence</w:t>
            </w:r>
            <w:r w:rsidR="00E8050E">
              <w:rPr>
                <w:color w:val="808080" w:themeColor="background1" w:themeShade="80"/>
              </w:rPr>
              <w:t>, namely</w:t>
            </w:r>
            <w:r w:rsidR="00F159A7" w:rsidRPr="00F159A7">
              <w:rPr>
                <w:color w:val="808080" w:themeColor="background1" w:themeShade="80"/>
              </w:rPr>
              <w:t xml:space="preserve">: </w:t>
            </w:r>
          </w:p>
          <w:p w:rsidR="00F159A7" w:rsidRPr="00F159A7" w:rsidRDefault="00F159A7" w:rsidP="00F159A7">
            <w:pPr>
              <w:pStyle w:val="textnormal"/>
              <w:rPr>
                <w:color w:val="808080" w:themeColor="background1" w:themeShade="80"/>
              </w:rPr>
            </w:pPr>
            <w:r w:rsidRPr="00F159A7">
              <w:rPr>
                <w:color w:val="808080" w:themeColor="background1" w:themeShade="80"/>
              </w:rPr>
              <w:t xml:space="preserve">o   Letter from </w:t>
            </w:r>
            <w:r w:rsidRPr="007914D6">
              <w:rPr>
                <w:b/>
                <w:i/>
                <w:color w:val="808080" w:themeColor="background1" w:themeShade="80"/>
              </w:rPr>
              <w:t>qldwater</w:t>
            </w:r>
            <w:r w:rsidRPr="00F159A7">
              <w:rPr>
                <w:color w:val="808080" w:themeColor="background1" w:themeShade="80"/>
              </w:rPr>
              <w:t xml:space="preserve"> to DEHP dated 28 </w:t>
            </w:r>
            <w:r w:rsidRPr="00F159A7">
              <w:rPr>
                <w:color w:val="808080" w:themeColor="background1" w:themeShade="80"/>
              </w:rPr>
              <w:lastRenderedPageBreak/>
              <w:t xml:space="preserve">June 2013, and </w:t>
            </w:r>
          </w:p>
          <w:p w:rsidR="00F159A7" w:rsidRPr="00F159A7" w:rsidRDefault="00F159A7" w:rsidP="00F159A7">
            <w:pPr>
              <w:pStyle w:val="textnormal"/>
              <w:rPr>
                <w:color w:val="808080" w:themeColor="background1" w:themeShade="80"/>
              </w:rPr>
            </w:pPr>
            <w:proofErr w:type="gramStart"/>
            <w:r w:rsidRPr="00F159A7">
              <w:rPr>
                <w:color w:val="808080" w:themeColor="background1" w:themeShade="80"/>
              </w:rPr>
              <w:t>o</w:t>
            </w:r>
            <w:proofErr w:type="gramEnd"/>
            <w:r w:rsidRPr="00F159A7">
              <w:rPr>
                <w:color w:val="808080" w:themeColor="background1" w:themeShade="80"/>
              </w:rPr>
              <w:t xml:space="preserve">   Letter from DEHP to </w:t>
            </w:r>
            <w:r w:rsidRPr="007914D6">
              <w:rPr>
                <w:b/>
                <w:i/>
                <w:color w:val="808080" w:themeColor="background1" w:themeShade="80"/>
              </w:rPr>
              <w:t>qldwater</w:t>
            </w:r>
            <w:r w:rsidRPr="00F159A7">
              <w:rPr>
                <w:color w:val="808080" w:themeColor="background1" w:themeShade="80"/>
              </w:rPr>
              <w:t xml:space="preserve"> dated 22 August 2013. </w:t>
            </w:r>
          </w:p>
          <w:p w:rsidR="009130C5" w:rsidRPr="007460E3" w:rsidRDefault="009130C5" w:rsidP="00B857FF">
            <w:pPr>
              <w:pStyle w:val="textnormal"/>
              <w:rPr>
                <w:color w:val="808080" w:themeColor="background1" w:themeShade="80"/>
              </w:rPr>
            </w:pPr>
          </w:p>
        </w:tc>
      </w:tr>
      <w:tr w:rsidR="009130C5" w:rsidTr="009130C5">
        <w:trPr>
          <w:trHeight w:val="842"/>
        </w:trPr>
        <w:tc>
          <w:tcPr>
            <w:tcW w:w="1694" w:type="dxa"/>
          </w:tcPr>
          <w:p w:rsidR="009130C5" w:rsidRPr="007460E3" w:rsidRDefault="009130C5" w:rsidP="00B857FF">
            <w:pPr>
              <w:pStyle w:val="textnormal"/>
              <w:rPr>
                <w:color w:val="808080" w:themeColor="background1" w:themeShade="80"/>
              </w:rPr>
            </w:pPr>
          </w:p>
        </w:tc>
        <w:tc>
          <w:tcPr>
            <w:tcW w:w="3961" w:type="dxa"/>
          </w:tcPr>
          <w:p w:rsidR="009130C5" w:rsidRPr="007460E3" w:rsidRDefault="00E8050E" w:rsidP="00E8050E">
            <w:pPr>
              <w:pStyle w:val="textnormal"/>
              <w:rPr>
                <w:color w:val="808080" w:themeColor="background1" w:themeShade="80"/>
              </w:rPr>
            </w:pPr>
            <w:r>
              <w:rPr>
                <w:color w:val="808080" w:themeColor="background1" w:themeShade="80"/>
              </w:rPr>
              <w:t>N</w:t>
            </w:r>
            <w:r w:rsidRPr="00A47B53">
              <w:rPr>
                <w:color w:val="808080" w:themeColor="background1" w:themeShade="80"/>
              </w:rPr>
              <w:t>ew eligibility criteria</w:t>
            </w:r>
          </w:p>
        </w:tc>
        <w:tc>
          <w:tcPr>
            <w:tcW w:w="4482" w:type="dxa"/>
          </w:tcPr>
          <w:p w:rsidR="009130C5" w:rsidRPr="007460E3" w:rsidRDefault="00EB2DCC" w:rsidP="007914D6">
            <w:pPr>
              <w:pStyle w:val="textnormal"/>
              <w:rPr>
                <w:color w:val="808080" w:themeColor="background1" w:themeShade="80"/>
              </w:rPr>
            </w:pPr>
            <w:r>
              <w:rPr>
                <w:color w:val="808080" w:themeColor="background1" w:themeShade="80"/>
              </w:rPr>
              <w:t>T</w:t>
            </w:r>
            <w:r w:rsidR="00A47B53" w:rsidRPr="00A47B53">
              <w:rPr>
                <w:color w:val="808080" w:themeColor="background1" w:themeShade="80"/>
              </w:rPr>
              <w:t xml:space="preserve">he </w:t>
            </w:r>
            <w:r w:rsidR="007914D6">
              <w:rPr>
                <w:color w:val="808080" w:themeColor="background1" w:themeShade="80"/>
              </w:rPr>
              <w:t>new</w:t>
            </w:r>
            <w:r w:rsidR="00A47B53" w:rsidRPr="00A47B53">
              <w:rPr>
                <w:color w:val="808080" w:themeColor="background1" w:themeShade="80"/>
              </w:rPr>
              <w:t xml:space="preserve"> eligibility criteri</w:t>
            </w:r>
            <w:r w:rsidR="007914D6">
              <w:rPr>
                <w:color w:val="808080" w:themeColor="background1" w:themeShade="80"/>
              </w:rPr>
              <w:t>on</w:t>
            </w:r>
            <w:r w:rsidR="00A47B53" w:rsidRPr="00A47B53">
              <w:rPr>
                <w:color w:val="808080" w:themeColor="background1" w:themeShade="80"/>
              </w:rPr>
              <w:t>, “The activity (SPS) will not cause a significant residual impact on a prescribed environmental matter”,</w:t>
            </w:r>
            <w:r w:rsidR="00B857FF">
              <w:rPr>
                <w:color w:val="808080" w:themeColor="background1" w:themeShade="80"/>
              </w:rPr>
              <w:t xml:space="preserve"> indicates that the standard conditions will be appropriate if there is no residual impact. This does not appear to make sense according to the </w:t>
            </w:r>
            <w:r w:rsidR="007914D6">
              <w:rPr>
                <w:color w:val="808080" w:themeColor="background1" w:themeShade="80"/>
              </w:rPr>
              <w:t>earlier statement</w:t>
            </w:r>
            <w:r w:rsidR="00B857FF">
              <w:rPr>
                <w:color w:val="808080" w:themeColor="background1" w:themeShade="80"/>
              </w:rPr>
              <w:t xml:space="preserve"> that, “</w:t>
            </w:r>
            <w:r w:rsidR="00B857FF">
              <w:t>Eligibility criteria set out the circumstances in which a standard or variation application for an environmental authority can be made”.</w:t>
            </w:r>
            <w:r w:rsidR="00A47B53" w:rsidRPr="00A47B53">
              <w:rPr>
                <w:color w:val="808080" w:themeColor="background1" w:themeShade="80"/>
              </w:rPr>
              <w:t xml:space="preserve"> </w:t>
            </w:r>
            <w:r w:rsidR="007914D6">
              <w:rPr>
                <w:color w:val="808080" w:themeColor="background1" w:themeShade="80"/>
              </w:rPr>
              <w:t>The language of the eligibility criteria and how they will be used should be clarified.</w:t>
            </w:r>
            <w:r w:rsidR="00A47B53" w:rsidRPr="00A47B53">
              <w:rPr>
                <w:color w:val="808080" w:themeColor="background1" w:themeShade="80"/>
              </w:rPr>
              <w:t xml:space="preserve"> </w:t>
            </w:r>
          </w:p>
        </w:tc>
      </w:tr>
      <w:tr w:rsidR="00E8050E" w:rsidTr="00B857FF">
        <w:trPr>
          <w:trHeight w:val="842"/>
        </w:trPr>
        <w:tc>
          <w:tcPr>
            <w:tcW w:w="1694" w:type="dxa"/>
          </w:tcPr>
          <w:p w:rsidR="00E8050E" w:rsidRPr="007460E3" w:rsidRDefault="00E8050E" w:rsidP="00B857FF">
            <w:pPr>
              <w:pStyle w:val="textnormal"/>
              <w:rPr>
                <w:color w:val="808080" w:themeColor="background1" w:themeShade="80"/>
              </w:rPr>
            </w:pPr>
          </w:p>
        </w:tc>
        <w:tc>
          <w:tcPr>
            <w:tcW w:w="3961" w:type="dxa"/>
          </w:tcPr>
          <w:p w:rsidR="00E8050E" w:rsidRPr="007460E3" w:rsidRDefault="00E8050E" w:rsidP="00B857FF">
            <w:pPr>
              <w:pStyle w:val="textnormal"/>
              <w:rPr>
                <w:color w:val="808080" w:themeColor="background1" w:themeShade="80"/>
              </w:rPr>
            </w:pPr>
            <w:r>
              <w:rPr>
                <w:color w:val="808080" w:themeColor="background1" w:themeShade="80"/>
              </w:rPr>
              <w:t>C</w:t>
            </w:r>
            <w:r w:rsidRPr="00A47B53">
              <w:rPr>
                <w:color w:val="808080" w:themeColor="background1" w:themeShade="80"/>
              </w:rPr>
              <w:t>ondition 11</w:t>
            </w:r>
          </w:p>
        </w:tc>
        <w:tc>
          <w:tcPr>
            <w:tcW w:w="4482" w:type="dxa"/>
          </w:tcPr>
          <w:p w:rsidR="00E8050E" w:rsidRPr="007460E3" w:rsidRDefault="00E8050E" w:rsidP="00B857FF">
            <w:pPr>
              <w:pStyle w:val="textnormal"/>
              <w:rPr>
                <w:color w:val="808080" w:themeColor="background1" w:themeShade="80"/>
              </w:rPr>
            </w:pPr>
            <w:r>
              <w:rPr>
                <w:color w:val="808080" w:themeColor="background1" w:themeShade="80"/>
              </w:rPr>
              <w:t>N</w:t>
            </w:r>
            <w:r w:rsidRPr="00A47B53">
              <w:rPr>
                <w:color w:val="808080" w:themeColor="background1" w:themeShade="80"/>
              </w:rPr>
              <w:t>ow state</w:t>
            </w:r>
            <w:r>
              <w:rPr>
                <w:color w:val="808080" w:themeColor="background1" w:themeShade="80"/>
              </w:rPr>
              <w:t>s</w:t>
            </w:r>
            <w:r w:rsidRPr="00A47B53">
              <w:rPr>
                <w:color w:val="808080" w:themeColor="background1" w:themeShade="80"/>
              </w:rPr>
              <w:t xml:space="preserve"> that reporting to the hotline needs to occur within 3 hours of becoming aware of a (certain) sewage release. This is not an issue but is new and might require the first responders to an incident to conduct the reporting rather than the supervisors or environmental officers (especially after hours) and it might affect the q</w:t>
            </w:r>
            <w:r w:rsidR="007914D6">
              <w:rPr>
                <w:color w:val="808080" w:themeColor="background1" w:themeShade="80"/>
              </w:rPr>
              <w:t>uality of the initial reporting</w:t>
            </w:r>
            <w:r w:rsidRPr="00A47B53">
              <w:rPr>
                <w:color w:val="808080" w:themeColor="background1" w:themeShade="80"/>
              </w:rPr>
              <w:t xml:space="preserve"> because staff will mostly still be focussed on the actual release rectification and clean up rather than on the question how it happened and what the impact is.</w:t>
            </w:r>
          </w:p>
        </w:tc>
      </w:tr>
      <w:tr w:rsidR="007914D6" w:rsidTr="00F06658">
        <w:trPr>
          <w:trHeight w:val="842"/>
        </w:trPr>
        <w:tc>
          <w:tcPr>
            <w:tcW w:w="1694" w:type="dxa"/>
          </w:tcPr>
          <w:p w:rsidR="007914D6" w:rsidRPr="007460E3" w:rsidRDefault="007914D6" w:rsidP="00F06658">
            <w:pPr>
              <w:pStyle w:val="textnormal"/>
              <w:rPr>
                <w:color w:val="808080" w:themeColor="background1" w:themeShade="80"/>
              </w:rPr>
            </w:pPr>
          </w:p>
        </w:tc>
        <w:tc>
          <w:tcPr>
            <w:tcW w:w="3961" w:type="dxa"/>
          </w:tcPr>
          <w:p w:rsidR="007914D6" w:rsidRPr="007460E3" w:rsidRDefault="007914D6" w:rsidP="00F06658">
            <w:pPr>
              <w:pStyle w:val="textnormal"/>
              <w:rPr>
                <w:color w:val="808080" w:themeColor="background1" w:themeShade="80"/>
              </w:rPr>
            </w:pPr>
            <w:r>
              <w:rPr>
                <w:color w:val="808080" w:themeColor="background1" w:themeShade="80"/>
              </w:rPr>
              <w:t>General</w:t>
            </w:r>
          </w:p>
        </w:tc>
        <w:tc>
          <w:tcPr>
            <w:tcW w:w="4482" w:type="dxa"/>
          </w:tcPr>
          <w:p w:rsidR="007914D6" w:rsidRPr="007460E3" w:rsidRDefault="007914D6" w:rsidP="00F06658">
            <w:pPr>
              <w:pStyle w:val="textnormal"/>
              <w:rPr>
                <w:color w:val="808080" w:themeColor="background1" w:themeShade="80"/>
              </w:rPr>
            </w:pPr>
            <w:r w:rsidRPr="00A47B53">
              <w:rPr>
                <w:color w:val="808080" w:themeColor="background1" w:themeShade="80"/>
              </w:rPr>
              <w:t xml:space="preserve">The standard lacks the advice, which was included in the </w:t>
            </w:r>
            <w:proofErr w:type="spellStart"/>
            <w:r w:rsidRPr="00A47B53">
              <w:rPr>
                <w:color w:val="808080" w:themeColor="background1" w:themeShade="80"/>
              </w:rPr>
              <w:t>CoC</w:t>
            </w:r>
            <w:proofErr w:type="spellEnd"/>
            <w:r w:rsidRPr="00A47B53">
              <w:rPr>
                <w:color w:val="808080" w:themeColor="background1" w:themeShade="80"/>
              </w:rPr>
              <w:t>, which makes interpretation of some of the conditions more difficult and possibly subjective. This might make it harder for water service providers to comply.</w:t>
            </w:r>
          </w:p>
        </w:tc>
      </w:tr>
      <w:tr w:rsidR="009130C5" w:rsidTr="009130C5">
        <w:trPr>
          <w:trHeight w:val="842"/>
        </w:trPr>
        <w:tc>
          <w:tcPr>
            <w:tcW w:w="1694" w:type="dxa"/>
          </w:tcPr>
          <w:p w:rsidR="009130C5" w:rsidRPr="007460E3" w:rsidRDefault="009130C5" w:rsidP="00B857FF">
            <w:pPr>
              <w:pStyle w:val="textnormal"/>
              <w:rPr>
                <w:color w:val="808080" w:themeColor="background1" w:themeShade="80"/>
              </w:rPr>
            </w:pPr>
          </w:p>
        </w:tc>
        <w:tc>
          <w:tcPr>
            <w:tcW w:w="3961" w:type="dxa"/>
          </w:tcPr>
          <w:p w:rsidR="009130C5" w:rsidRPr="007460E3" w:rsidRDefault="00E8050E" w:rsidP="00B857FF">
            <w:pPr>
              <w:pStyle w:val="textnormal"/>
              <w:rPr>
                <w:color w:val="808080" w:themeColor="background1" w:themeShade="80"/>
              </w:rPr>
            </w:pPr>
            <w:r>
              <w:rPr>
                <w:color w:val="808080" w:themeColor="background1" w:themeShade="80"/>
              </w:rPr>
              <w:t>General</w:t>
            </w:r>
          </w:p>
        </w:tc>
        <w:tc>
          <w:tcPr>
            <w:tcW w:w="4482" w:type="dxa"/>
          </w:tcPr>
          <w:p w:rsidR="009130C5" w:rsidRPr="007460E3" w:rsidRDefault="007914D6" w:rsidP="00A2511F">
            <w:pPr>
              <w:pStyle w:val="textnormal"/>
              <w:rPr>
                <w:color w:val="808080" w:themeColor="background1" w:themeShade="80"/>
              </w:rPr>
            </w:pPr>
            <w:r>
              <w:rPr>
                <w:color w:val="808080" w:themeColor="background1" w:themeShade="80"/>
              </w:rPr>
              <w:t>The urban water sector has developed a Code of Practice</w:t>
            </w:r>
            <w:r w:rsidR="00A2511F">
              <w:rPr>
                <w:color w:val="808080" w:themeColor="background1" w:themeShade="80"/>
              </w:rPr>
              <w:t xml:space="preserve"> (</w:t>
            </w:r>
            <w:proofErr w:type="spellStart"/>
            <w:r w:rsidR="00A2511F">
              <w:rPr>
                <w:color w:val="808080" w:themeColor="background1" w:themeShade="80"/>
              </w:rPr>
              <w:t>CoP</w:t>
            </w:r>
            <w:proofErr w:type="spellEnd"/>
            <w:r w:rsidR="00A2511F">
              <w:rPr>
                <w:color w:val="808080" w:themeColor="background1" w:themeShade="80"/>
              </w:rPr>
              <w:t>)</w:t>
            </w:r>
            <w:r>
              <w:rPr>
                <w:color w:val="808080" w:themeColor="background1" w:themeShade="80"/>
              </w:rPr>
              <w:t xml:space="preserve"> in consultation with the Department and has been seeking to replace current conditions with the Code for some time</w:t>
            </w:r>
            <w:r w:rsidR="00A2511F">
              <w:rPr>
                <w:color w:val="808080" w:themeColor="background1" w:themeShade="80"/>
              </w:rPr>
              <w:t xml:space="preserve"> to clarify best practice for SPS and networks. The industry’s position is that the </w:t>
            </w:r>
            <w:proofErr w:type="spellStart"/>
            <w:r w:rsidR="00A2511F">
              <w:rPr>
                <w:color w:val="808080" w:themeColor="background1" w:themeShade="80"/>
              </w:rPr>
              <w:t>CoP</w:t>
            </w:r>
            <w:proofErr w:type="spellEnd"/>
            <w:r w:rsidR="00A2511F">
              <w:rPr>
                <w:color w:val="808080" w:themeColor="background1" w:themeShade="80"/>
              </w:rPr>
              <w:t xml:space="preserve"> will be more practical and provide greater environmental benefits than the Standard Conditions. </w:t>
            </w:r>
          </w:p>
        </w:tc>
      </w:tr>
    </w:tbl>
    <w:p w:rsidR="00BA6136" w:rsidRDefault="00BA6136" w:rsidP="00BA6136">
      <w:pPr>
        <w:pStyle w:val="textnormal"/>
      </w:pPr>
    </w:p>
    <w:p w:rsidR="000C6247" w:rsidRDefault="007460E3" w:rsidP="000C6247">
      <w:pPr>
        <w:spacing w:after="120"/>
        <w:rPr>
          <w:rFonts w:cs="Arial"/>
          <w:color w:val="000000"/>
          <w:szCs w:val="20"/>
          <w:lang w:eastAsia="en-AU"/>
        </w:rPr>
      </w:pPr>
      <w:r w:rsidRPr="000C6247">
        <w:rPr>
          <w:rFonts w:cs="Arial"/>
          <w:color w:val="000000"/>
          <w:szCs w:val="20"/>
          <w:lang w:eastAsia="en-AU"/>
        </w:rPr>
        <w:t>Submissions and comments can be sent</w:t>
      </w:r>
      <w:r w:rsidR="000C6247">
        <w:rPr>
          <w:rFonts w:cs="Arial"/>
          <w:color w:val="000000"/>
          <w:szCs w:val="20"/>
          <w:lang w:eastAsia="en-AU"/>
        </w:rPr>
        <w:t xml:space="preserve"> by email</w:t>
      </w:r>
      <w:r w:rsidRPr="000C6247">
        <w:rPr>
          <w:rFonts w:cs="Arial"/>
          <w:color w:val="000000"/>
          <w:szCs w:val="20"/>
          <w:lang w:eastAsia="en-AU"/>
        </w:rPr>
        <w:t xml:space="preserve"> to:</w:t>
      </w:r>
      <w:r w:rsidR="000C6247">
        <w:rPr>
          <w:rFonts w:cs="Arial"/>
          <w:color w:val="000000"/>
          <w:szCs w:val="20"/>
          <w:lang w:eastAsia="en-AU"/>
        </w:rPr>
        <w:t xml:space="preserve"> </w:t>
      </w:r>
      <w:hyperlink r:id="rId8" w:history="1">
        <w:r w:rsidR="000C6247" w:rsidRPr="00EF3E26">
          <w:rPr>
            <w:rStyle w:val="Hyperlink"/>
            <w:rFonts w:cs="Arial"/>
            <w:szCs w:val="20"/>
            <w:lang w:eastAsia="en-AU"/>
          </w:rPr>
          <w:t>ISRS.Consultation@ehp.qld.gov.au</w:t>
        </w:r>
      </w:hyperlink>
      <w:r w:rsidR="000C6247">
        <w:rPr>
          <w:rFonts w:cs="Arial"/>
          <w:color w:val="000000"/>
          <w:szCs w:val="20"/>
          <w:lang w:eastAsia="en-AU"/>
        </w:rPr>
        <w:t xml:space="preserve"> or by mail to:</w:t>
      </w:r>
    </w:p>
    <w:p w:rsidR="007460E3" w:rsidRPr="000C6247" w:rsidRDefault="007460E3" w:rsidP="000C6247">
      <w:pPr>
        <w:spacing w:after="120"/>
        <w:rPr>
          <w:rFonts w:cs="Arial"/>
          <w:color w:val="000000"/>
          <w:szCs w:val="20"/>
          <w:lang w:eastAsia="en-AU"/>
        </w:rPr>
      </w:pPr>
      <w:r w:rsidRPr="000C6247">
        <w:rPr>
          <w:rFonts w:cs="Arial"/>
          <w:color w:val="000000"/>
          <w:szCs w:val="20"/>
          <w:lang w:eastAsia="en-AU"/>
        </w:rPr>
        <w:lastRenderedPageBreak/>
        <w:t>Industry Sector Regulation and Support</w:t>
      </w:r>
      <w:r w:rsidR="000C6247">
        <w:rPr>
          <w:rFonts w:cs="Arial"/>
          <w:color w:val="000000"/>
          <w:szCs w:val="20"/>
          <w:lang w:eastAsia="en-AU"/>
        </w:rPr>
        <w:br/>
      </w:r>
      <w:r w:rsidRPr="000C6247">
        <w:rPr>
          <w:rFonts w:cs="Arial"/>
          <w:color w:val="000000"/>
          <w:szCs w:val="20"/>
          <w:lang w:eastAsia="en-AU"/>
        </w:rPr>
        <w:t>Department of Environment and Heritage Protection</w:t>
      </w:r>
      <w:r w:rsidR="000C6247">
        <w:rPr>
          <w:rFonts w:cs="Arial"/>
          <w:color w:val="000000"/>
          <w:szCs w:val="20"/>
          <w:lang w:eastAsia="en-AU"/>
        </w:rPr>
        <w:br/>
      </w:r>
      <w:r w:rsidRPr="000C6247">
        <w:rPr>
          <w:rFonts w:cs="Arial"/>
          <w:color w:val="000000"/>
          <w:szCs w:val="20"/>
          <w:lang w:eastAsia="en-AU"/>
        </w:rPr>
        <w:t>Level 8, 400 George Street</w:t>
      </w:r>
      <w:r w:rsidR="000C6247">
        <w:rPr>
          <w:rFonts w:cs="Arial"/>
          <w:color w:val="000000"/>
          <w:szCs w:val="20"/>
          <w:lang w:eastAsia="en-AU"/>
        </w:rPr>
        <w:br/>
      </w:r>
      <w:r w:rsidRPr="000C6247">
        <w:rPr>
          <w:rFonts w:cs="Arial"/>
          <w:color w:val="000000"/>
          <w:szCs w:val="20"/>
          <w:lang w:eastAsia="en-AU"/>
        </w:rPr>
        <w:t>GPO Box 2454</w:t>
      </w:r>
      <w:r w:rsidR="000C6247">
        <w:rPr>
          <w:rFonts w:cs="Arial"/>
          <w:color w:val="000000"/>
          <w:szCs w:val="20"/>
          <w:lang w:eastAsia="en-AU"/>
        </w:rPr>
        <w:br/>
      </w:r>
      <w:r w:rsidRPr="000C6247">
        <w:rPr>
          <w:rFonts w:cs="Arial"/>
          <w:color w:val="000000"/>
          <w:szCs w:val="20"/>
          <w:lang w:eastAsia="en-AU"/>
        </w:rPr>
        <w:t>Brisbane Qld 4001</w:t>
      </w:r>
    </w:p>
    <w:sectPr w:rsidR="007460E3" w:rsidRPr="000C6247">
      <w:headerReference w:type="even" r:id="rId9"/>
      <w:headerReference w:type="default" r:id="rId10"/>
      <w:footerReference w:type="default" r:id="rId11"/>
      <w:headerReference w:type="first" r:id="rId12"/>
      <w:footerReference w:type="first" r:id="rId13"/>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42" w:rsidRDefault="00791D42">
      <w:r>
        <w:separator/>
      </w:r>
    </w:p>
  </w:endnote>
  <w:endnote w:type="continuationSeparator" w:id="0">
    <w:p w:rsidR="00791D42" w:rsidRDefault="0079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FF" w:rsidRDefault="00B857FF">
    <w:pPr>
      <w:pStyle w:val="footerline8pt"/>
    </w:pPr>
  </w:p>
  <w:p w:rsidR="00B857FF" w:rsidRPr="0028457E" w:rsidRDefault="00B857FF" w:rsidP="0028457E">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74710">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74710">
      <w:rPr>
        <w:noProof/>
        <w:lang w:eastAsia="en-AU"/>
      </w:rPr>
      <w:t>3</w:t>
    </w:r>
    <w:r w:rsidRPr="00D67AB9">
      <w:rPr>
        <w:noProof/>
        <w:lang w:eastAsia="en-AU"/>
      </w:rPr>
      <w:fldChar w:fldCharType="end"/>
    </w:r>
    <w:r>
      <w:rPr>
        <w:noProof/>
        <w:lang w:eastAsia="en-AU"/>
      </w:rPr>
      <w:t xml:space="preserve"> • </w:t>
    </w:r>
    <w:r>
      <w:rPr>
        <w:noProof/>
        <w:szCs w:val="16"/>
        <w:lang w:eastAsia="en-AU"/>
      </w:rPr>
      <w:t>ESR/2016/????</w:t>
    </w:r>
    <w:r w:rsidRPr="004E7651">
      <w:rPr>
        <w:szCs w:val="16"/>
      </w:rPr>
      <w:t xml:space="preserve"> •</w:t>
    </w:r>
    <w:r>
      <w:rPr>
        <w:szCs w:val="16"/>
      </w:rPr>
      <w:t xml:space="preserve"> Version 1.00</w:t>
    </w:r>
    <w:r w:rsidRPr="004E7651">
      <w:rPr>
        <w:szCs w:val="16"/>
      </w:rPr>
      <w:t xml:space="preserve"> •</w:t>
    </w:r>
    <w:r>
      <w:rPr>
        <w:szCs w:val="16"/>
      </w:rPr>
      <w:t xml:space="preserve"> Effective: 15 FEB 2016</w:t>
    </w:r>
    <w:r>
      <w:rPr>
        <w:noProof/>
        <w:lang w:eastAsia="en-AU"/>
      </w:rPr>
      <w:tab/>
    </w:r>
    <w:r w:rsidRPr="002F28C1">
      <w:rPr>
        <w:b/>
        <w:noProof/>
        <w:lang w:eastAsia="en-AU"/>
      </w:rPr>
      <w:t xml:space="preserve">Department of </w:t>
    </w:r>
    <w:r>
      <w:rPr>
        <w:b/>
        <w:noProof/>
        <w:lang w:eastAsia="en-AU"/>
      </w:rPr>
      <w:t>Environment and Heritage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FF" w:rsidRPr="00256E6E" w:rsidRDefault="00B857FF" w:rsidP="00B33F74">
    <w:pPr>
      <w:pStyle w:val="Footer"/>
      <w:tabs>
        <w:tab w:val="clear" w:pos="4153"/>
        <w:tab w:val="clear" w:pos="8306"/>
        <w:tab w:val="center" w:pos="5040"/>
        <w:tab w:val="right" w:pos="9840"/>
      </w:tabs>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974710">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974710">
      <w:rPr>
        <w:noProof/>
        <w:sz w:val="16"/>
        <w:szCs w:val="16"/>
      </w:rPr>
      <w:t>3</w:t>
    </w:r>
    <w:r w:rsidRPr="00256E6E">
      <w:rPr>
        <w:sz w:val="16"/>
        <w:szCs w:val="16"/>
      </w:rPr>
      <w:fldChar w:fldCharType="end"/>
    </w:r>
    <w:r w:rsidRPr="00256E6E">
      <w:rPr>
        <w:sz w:val="16"/>
        <w:szCs w:val="16"/>
      </w:rPr>
      <w:t xml:space="preserve"> • Effective: </w:t>
    </w:r>
    <w:r>
      <w:rPr>
        <w:sz w:val="16"/>
        <w:szCs w:val="16"/>
      </w:rPr>
      <w:t>29 MAR</w:t>
    </w:r>
    <w:r w:rsidRPr="00256E6E">
      <w:rPr>
        <w:sz w:val="16"/>
        <w:szCs w:val="16"/>
      </w:rPr>
      <w:t xml:space="preserve"> 2016</w:t>
    </w:r>
    <w:r w:rsidRPr="00256E6E">
      <w:rPr>
        <w:sz w:val="16"/>
        <w:szCs w:val="16"/>
      </w:rPr>
      <w:ptab w:relativeTo="margin" w:alignment="right" w:leader="none"/>
    </w:r>
    <w:r w:rsidRPr="00256E6E">
      <w:rPr>
        <w:sz w:val="16"/>
        <w:szCs w:val="16"/>
      </w:rPr>
      <w:t>ABN 46 640 294 485</w:t>
    </w: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p w:rsidR="00B857FF" w:rsidRPr="00256E6E" w:rsidRDefault="00B857FF" w:rsidP="00B33F7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42" w:rsidRDefault="00791D42">
      <w:r>
        <w:separator/>
      </w:r>
    </w:p>
  </w:footnote>
  <w:footnote w:type="continuationSeparator" w:id="0">
    <w:p w:rsidR="00791D42" w:rsidRDefault="00791D42">
      <w:r>
        <w:continuationSeparator/>
      </w:r>
    </w:p>
  </w:footnote>
  <w:footnote w:id="1">
    <w:p w:rsidR="00B857FF" w:rsidRDefault="00B857FF" w:rsidP="007460E3">
      <w:pPr>
        <w:pStyle w:val="FootnoteText"/>
      </w:pPr>
      <w:r>
        <w:rPr>
          <w:rStyle w:val="FootnoteReference"/>
        </w:rPr>
        <w:footnoteRef/>
      </w:r>
      <w:r>
        <w:t xml:space="preserve"> </w:t>
      </w:r>
      <w:r w:rsidRPr="007460E3">
        <w:rPr>
          <w:szCs w:val="18"/>
        </w:rPr>
        <w:t>Sewage pump stations ERA 63(2)</w:t>
      </w:r>
      <w:r>
        <w:rPr>
          <w:szCs w:val="18"/>
        </w:rPr>
        <w:t xml:space="preserve">, </w:t>
      </w:r>
      <w:r w:rsidRPr="007460E3">
        <w:rPr>
          <w:szCs w:val="18"/>
        </w:rPr>
        <w:t xml:space="preserve">Cattle </w:t>
      </w:r>
      <w:proofErr w:type="spellStart"/>
      <w:r w:rsidRPr="007460E3">
        <w:rPr>
          <w:szCs w:val="18"/>
        </w:rPr>
        <w:t>feedlotting</w:t>
      </w:r>
      <w:proofErr w:type="spellEnd"/>
      <w:r w:rsidRPr="007460E3">
        <w:rPr>
          <w:szCs w:val="18"/>
        </w:rPr>
        <w:t xml:space="preserve">  ERA 2(1a)</w:t>
      </w:r>
      <w:r>
        <w:rPr>
          <w:szCs w:val="18"/>
        </w:rPr>
        <w:t xml:space="preserve">, </w:t>
      </w:r>
      <w:r w:rsidRPr="007460E3">
        <w:rPr>
          <w:szCs w:val="18"/>
        </w:rPr>
        <w:t xml:space="preserve">Sheep </w:t>
      </w:r>
      <w:proofErr w:type="spellStart"/>
      <w:r w:rsidRPr="007460E3">
        <w:rPr>
          <w:szCs w:val="18"/>
        </w:rPr>
        <w:t>feedlotting</w:t>
      </w:r>
      <w:proofErr w:type="spellEnd"/>
      <w:r w:rsidRPr="007460E3">
        <w:rPr>
          <w:szCs w:val="18"/>
        </w:rPr>
        <w:t xml:space="preserve"> ERA 2(2a)</w:t>
      </w:r>
      <w:r>
        <w:rPr>
          <w:szCs w:val="18"/>
        </w:rPr>
        <w:t xml:space="preserve">, </w:t>
      </w:r>
      <w:r w:rsidRPr="007460E3">
        <w:rPr>
          <w:szCs w:val="18"/>
        </w:rPr>
        <w:t>Pig keeping ERA 3(1)</w:t>
      </w:r>
      <w:r>
        <w:rPr>
          <w:szCs w:val="18"/>
        </w:rPr>
        <w:t xml:space="preserve">, </w:t>
      </w:r>
      <w:r w:rsidRPr="007460E3">
        <w:rPr>
          <w:szCs w:val="18"/>
        </w:rPr>
        <w:t>Poultry farming ERA 4(1)</w:t>
      </w:r>
      <w:r>
        <w:rPr>
          <w:szCs w:val="18"/>
        </w:rPr>
        <w:t xml:space="preserve">, </w:t>
      </w:r>
      <w:r w:rsidRPr="007460E3">
        <w:rPr>
          <w:szCs w:val="18"/>
        </w:rPr>
        <w:t>Paint manufacturing ERA 7(1)</w:t>
      </w:r>
      <w:r>
        <w:rPr>
          <w:szCs w:val="18"/>
        </w:rPr>
        <w:t xml:space="preserve">, </w:t>
      </w:r>
      <w:r w:rsidRPr="007460E3">
        <w:rPr>
          <w:szCs w:val="18"/>
        </w:rPr>
        <w:t>Soap manufacturing ERA 7(3a)</w:t>
      </w:r>
      <w:r>
        <w:rPr>
          <w:szCs w:val="18"/>
        </w:rPr>
        <w:t xml:space="preserve">, </w:t>
      </w:r>
      <w:r w:rsidRPr="007460E3">
        <w:rPr>
          <w:szCs w:val="18"/>
        </w:rPr>
        <w:t xml:space="preserve">Tyre </w:t>
      </w:r>
      <w:proofErr w:type="spellStart"/>
      <w:r w:rsidRPr="007460E3">
        <w:rPr>
          <w:szCs w:val="18"/>
        </w:rPr>
        <w:t>retreading</w:t>
      </w:r>
      <w:proofErr w:type="spellEnd"/>
      <w:r w:rsidRPr="007460E3">
        <w:rPr>
          <w:szCs w:val="18"/>
        </w:rPr>
        <w:t xml:space="preserve"> ERA 13(2)</w:t>
      </w:r>
      <w:r>
        <w:rPr>
          <w:szCs w:val="18"/>
        </w:rPr>
        <w:t xml:space="preserve">, </w:t>
      </w:r>
      <w:r w:rsidRPr="007460E3">
        <w:rPr>
          <w:szCs w:val="18"/>
        </w:rPr>
        <w:t>Extracting 5000t to 100000t of materials ERA16(2a)</w:t>
      </w:r>
      <w:r>
        <w:rPr>
          <w:szCs w:val="18"/>
        </w:rPr>
        <w:t xml:space="preserve">, </w:t>
      </w:r>
      <w:r w:rsidRPr="007460E3">
        <w:rPr>
          <w:szCs w:val="18"/>
        </w:rPr>
        <w:t>Screening 5000t to 100000t of materials ERA 16(3a)</w:t>
      </w:r>
      <w:r>
        <w:rPr>
          <w:szCs w:val="18"/>
        </w:rPr>
        <w:t xml:space="preserve">, </w:t>
      </w:r>
      <w:r w:rsidRPr="007460E3">
        <w:rPr>
          <w:szCs w:val="18"/>
        </w:rPr>
        <w:t>Screening 100000t to 1 million t of materials ERA 16(3b)</w:t>
      </w:r>
      <w:r>
        <w:rPr>
          <w:szCs w:val="18"/>
        </w:rPr>
        <w:t xml:space="preserve">, </w:t>
      </w:r>
      <w:r w:rsidRPr="007460E3">
        <w:rPr>
          <w:szCs w:val="18"/>
        </w:rPr>
        <w:t>Screening more than 1 million t of materials ERA 16(3c)</w:t>
      </w:r>
      <w:r>
        <w:rPr>
          <w:szCs w:val="18"/>
        </w:rPr>
        <w:t xml:space="preserve">, </w:t>
      </w:r>
      <w:r w:rsidRPr="007460E3">
        <w:rPr>
          <w:szCs w:val="18"/>
        </w:rPr>
        <w:t>Bottling and canning ERA 23</w:t>
      </w:r>
      <w:r>
        <w:rPr>
          <w:szCs w:val="18"/>
        </w:rPr>
        <w:t xml:space="preserve">, </w:t>
      </w:r>
      <w:r w:rsidRPr="007460E3">
        <w:rPr>
          <w:szCs w:val="18"/>
        </w:rPr>
        <w:t>Meat processing excluding rendering ERA 25(1a)</w:t>
      </w:r>
      <w:r>
        <w:rPr>
          <w:szCs w:val="18"/>
        </w:rPr>
        <w:t xml:space="preserve">, </w:t>
      </w:r>
      <w:r w:rsidRPr="007460E3">
        <w:rPr>
          <w:szCs w:val="18"/>
        </w:rPr>
        <w:t>Meat processing including rendering ERA 25(2a)</w:t>
      </w:r>
      <w:r>
        <w:rPr>
          <w:szCs w:val="18"/>
        </w:rPr>
        <w:t xml:space="preserve">, </w:t>
      </w:r>
      <w:r w:rsidRPr="007460E3">
        <w:rPr>
          <w:szCs w:val="18"/>
        </w:rPr>
        <w:t>Manufacturing dairy products ERA 26</w:t>
      </w:r>
      <w:r>
        <w:rPr>
          <w:szCs w:val="18"/>
        </w:rPr>
        <w:t xml:space="preserve">, </w:t>
      </w:r>
      <w:r w:rsidRPr="007460E3">
        <w:rPr>
          <w:szCs w:val="18"/>
        </w:rPr>
        <w:t>Metal foundry ERA 29(2)</w:t>
      </w:r>
      <w:r>
        <w:rPr>
          <w:szCs w:val="18"/>
        </w:rPr>
        <w:t xml:space="preserve">, </w:t>
      </w:r>
      <w:r w:rsidRPr="007460E3">
        <w:rPr>
          <w:szCs w:val="18"/>
        </w:rPr>
        <w:t>Surface coating ERA 38(2)</w:t>
      </w:r>
      <w:r>
        <w:rPr>
          <w:szCs w:val="18"/>
        </w:rPr>
        <w:t xml:space="preserve">, </w:t>
      </w:r>
      <w:r w:rsidRPr="007460E3">
        <w:rPr>
          <w:szCs w:val="18"/>
        </w:rPr>
        <w:t>Tyre recycling ERA 59</w:t>
      </w:r>
      <w:r>
        <w:rPr>
          <w:szCs w:val="18"/>
        </w:rPr>
        <w:t xml:space="preserve">, </w:t>
      </w:r>
      <w:r w:rsidRPr="007460E3">
        <w:rPr>
          <w:szCs w:val="18"/>
        </w:rPr>
        <w:t>Sewage treatment ERA 63(1a)(</w:t>
      </w:r>
      <w:proofErr w:type="spellStart"/>
      <w:r w:rsidRPr="007460E3">
        <w:rPr>
          <w:szCs w:val="18"/>
        </w:rPr>
        <w:t>i</w:t>
      </w:r>
      <w:proofErr w:type="spellEnd"/>
      <w:r w:rsidRPr="007460E3">
        <w:rPr>
          <w:szCs w:val="18"/>
        </w:rPr>
        <w:t>)</w:t>
      </w:r>
    </w:p>
  </w:footnote>
  <w:footnote w:id="2">
    <w:p w:rsidR="00B857FF" w:rsidRDefault="00B857FF" w:rsidP="007460E3">
      <w:pPr>
        <w:pStyle w:val="FootnoteText"/>
        <w:spacing w:before="120" w:after="240"/>
      </w:pPr>
      <w:r>
        <w:rPr>
          <w:rStyle w:val="FootnoteReference"/>
        </w:rPr>
        <w:footnoteRef/>
      </w:r>
      <w:r>
        <w:t xml:space="preserve"> </w:t>
      </w:r>
      <w:r w:rsidRPr="007460E3">
        <w:rPr>
          <w:szCs w:val="18"/>
        </w:rPr>
        <w:t xml:space="preserve">For queries about privacy matters email </w:t>
      </w:r>
      <w:hyperlink r:id="rId1" w:history="1">
        <w:r w:rsidRPr="007460E3">
          <w:rPr>
            <w:rStyle w:val="Hyperlink"/>
            <w:szCs w:val="18"/>
          </w:rPr>
          <w:t>privacy@ehp.qld.gov.au</w:t>
        </w:r>
      </w:hyperlink>
      <w:r w:rsidRPr="007460E3">
        <w:rPr>
          <w:szCs w:val="18"/>
          <w:lang w:val="en"/>
        </w:rPr>
        <w:t xml:space="preserve"> </w:t>
      </w:r>
      <w:r w:rsidRPr="007460E3">
        <w:rPr>
          <w:szCs w:val="18"/>
        </w:rPr>
        <w:t>or telephone: (07) 3330 </w:t>
      </w:r>
      <w:r>
        <w:rPr>
          <w:szCs w:val="18"/>
        </w:rPr>
        <w:t>6270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FF" w:rsidRDefault="0097471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0976" o:spid="_x0000_s2097"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B857FF" w:rsidRDefault="00B857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FF" w:rsidRDefault="00B857FF" w:rsidP="00527718">
    <w:pPr>
      <w:pStyle w:val="docpg2type"/>
    </w:pPr>
    <w:r>
      <w:t>Checklist</w:t>
    </w:r>
  </w:p>
  <w:p w:rsidR="00B857FF" w:rsidRDefault="00B857FF">
    <w:pPr>
      <w:pStyle w:val="docpg2title"/>
    </w:pPr>
    <w:r>
      <w:t>Possible changes when updating documents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FF" w:rsidRPr="00187F4F" w:rsidRDefault="00B857FF" w:rsidP="009F029B">
    <w:pPr>
      <w:pStyle w:val="textnormal"/>
      <w:spacing w:before="120"/>
      <w:rPr>
        <w:b/>
        <w:sz w:val="32"/>
        <w:szCs w:val="32"/>
      </w:rPr>
    </w:pPr>
    <w:r>
      <w:rPr>
        <w:noProof/>
        <w:lang w:eastAsia="en-AU"/>
      </w:rPr>
      <w:drawing>
        <wp:anchor distT="0" distB="0" distL="114300" distR="114300" simplePos="0" relativeHeight="251657216" behindDoc="1" locked="0" layoutInCell="1" allowOverlap="1">
          <wp:simplePos x="0" y="0"/>
          <wp:positionH relativeFrom="column">
            <wp:posOffset>-720725</wp:posOffset>
          </wp:positionH>
          <wp:positionV relativeFrom="paragraph">
            <wp:posOffset>-367665</wp:posOffset>
          </wp:positionV>
          <wp:extent cx="7561580" cy="10694670"/>
          <wp:effectExtent l="0" t="0" r="1270" b="0"/>
          <wp:wrapNone/>
          <wp:docPr id="47" name="Picture 47"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HP Factsheet Word template-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4670"/>
                  </a:xfrm>
                  <a:prstGeom prst="rect">
                    <a:avLst/>
                  </a:prstGeom>
                  <a:noFill/>
                </pic:spPr>
              </pic:pic>
            </a:graphicData>
          </a:graphic>
          <wp14:sizeRelH relativeFrom="page">
            <wp14:pctWidth>0</wp14:pctWidth>
          </wp14:sizeRelH>
          <wp14:sizeRelV relativeFrom="page">
            <wp14:pctHeight>0</wp14:pctHeight>
          </wp14:sizeRelV>
        </wp:anchor>
      </w:drawing>
    </w:r>
  </w:p>
  <w:p w:rsidR="00B857FF" w:rsidRDefault="00B857FF" w:rsidP="00187F4F">
    <w:pPr>
      <w:pStyle w:val="doctypeeco"/>
      <w:spacing w:before="600"/>
    </w:pPr>
    <w: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1B00834"/>
    <w:multiLevelType w:val="hybridMultilevel"/>
    <w:tmpl w:val="C3088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727E18"/>
    <w:multiLevelType w:val="hybridMultilevel"/>
    <w:tmpl w:val="C1DA3F84"/>
    <w:lvl w:ilvl="0" w:tplc="1CDA3FD6">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8" w15:restartNumberingAfterBreak="0">
    <w:nsid w:val="3D3E4148"/>
    <w:multiLevelType w:val="multilevel"/>
    <w:tmpl w:val="AE4C2C00"/>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1636A"/>
    <w:multiLevelType w:val="hybridMultilevel"/>
    <w:tmpl w:val="6AE8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21DA8"/>
    <w:multiLevelType w:val="hybridMultilevel"/>
    <w:tmpl w:val="0A22235A"/>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3"/>
  </w:num>
  <w:num w:numId="3">
    <w:abstractNumId w:val="9"/>
  </w:num>
  <w:num w:numId="4">
    <w:abstractNumId w:val="7"/>
  </w:num>
  <w:num w:numId="5">
    <w:abstractNumId w:val="8"/>
  </w:num>
  <w:num w:numId="6">
    <w:abstractNumId w:val="4"/>
  </w:num>
  <w:num w:numId="7">
    <w:abstractNumId w:val="4"/>
  </w:num>
  <w:num w:numId="8">
    <w:abstractNumId w:val="4"/>
  </w:num>
  <w:num w:numId="9">
    <w:abstractNumId w:val="16"/>
  </w:num>
  <w:num w:numId="10">
    <w:abstractNumId w:val="11"/>
  </w:num>
  <w:num w:numId="11">
    <w:abstractNumId w:val="5"/>
  </w:num>
  <w:num w:numId="12">
    <w:abstractNumId w:val="1"/>
  </w:num>
  <w:num w:numId="13">
    <w:abstractNumId w:val="14"/>
  </w:num>
  <w:num w:numId="14">
    <w:abstractNumId w:val="14"/>
  </w:num>
  <w:num w:numId="15">
    <w:abstractNumId w:val="14"/>
  </w:num>
  <w:num w:numId="16">
    <w:abstractNumId w:val="0"/>
  </w:num>
  <w:num w:numId="17">
    <w:abstractNumId w:val="0"/>
  </w:num>
  <w:num w:numId="18">
    <w:abstractNumId w:val="5"/>
  </w:num>
  <w:num w:numId="19">
    <w:abstractNumId w:val="1"/>
  </w:num>
  <w:num w:numId="20">
    <w:abstractNumId w:val="14"/>
  </w:num>
  <w:num w:numId="21">
    <w:abstractNumId w:val="14"/>
  </w:num>
  <w:num w:numId="22">
    <w:abstractNumId w:val="14"/>
  </w:num>
  <w:num w:numId="23">
    <w:abstractNumId w:val="0"/>
  </w:num>
  <w:num w:numId="24">
    <w:abstractNumId w:val="12"/>
  </w:num>
  <w:num w:numId="25">
    <w:abstractNumId w:val="2"/>
  </w:num>
  <w:num w:numId="26">
    <w:abstractNumId w:val="13"/>
  </w:num>
  <w:num w:numId="27">
    <w:abstractNumId w:val="15"/>
  </w:num>
  <w:num w:numId="28">
    <w:abstractNumId w:val="5"/>
  </w:num>
  <w:num w:numId="29">
    <w:abstractNumId w:val="1"/>
  </w:num>
  <w:num w:numId="30">
    <w:abstractNumId w:val="14"/>
  </w:num>
  <w:num w:numId="31">
    <w:abstractNumId w:val="14"/>
  </w:num>
  <w:num w:numId="32">
    <w:abstractNumId w:val="14"/>
  </w:num>
  <w:num w:numId="33">
    <w:abstractNumId w:val="0"/>
  </w:num>
  <w:num w:numId="34">
    <w:abstractNumId w:val="10"/>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hdrShapeDefaults>
    <o:shapedefaults v:ext="edit" spidmax="2098">
      <o:colormru v:ext="edit" colors="#c8c8c8,#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bDivision" w:val=" "/>
  </w:docVars>
  <w:rsids>
    <w:rsidRoot w:val="00571496"/>
    <w:rsid w:val="00032103"/>
    <w:rsid w:val="0004393E"/>
    <w:rsid w:val="00077D97"/>
    <w:rsid w:val="000946CC"/>
    <w:rsid w:val="00094F49"/>
    <w:rsid w:val="000A468B"/>
    <w:rsid w:val="000C5422"/>
    <w:rsid w:val="000C6247"/>
    <w:rsid w:val="000E5C68"/>
    <w:rsid w:val="000F527B"/>
    <w:rsid w:val="00120801"/>
    <w:rsid w:val="00120A09"/>
    <w:rsid w:val="00135119"/>
    <w:rsid w:val="00135190"/>
    <w:rsid w:val="00152A52"/>
    <w:rsid w:val="001711F3"/>
    <w:rsid w:val="00174305"/>
    <w:rsid w:val="00182172"/>
    <w:rsid w:val="00186363"/>
    <w:rsid w:val="00187F4F"/>
    <w:rsid w:val="00190699"/>
    <w:rsid w:val="001C4ED2"/>
    <w:rsid w:val="001F610A"/>
    <w:rsid w:val="00234EA7"/>
    <w:rsid w:val="0023677B"/>
    <w:rsid w:val="00246603"/>
    <w:rsid w:val="0024699B"/>
    <w:rsid w:val="00256E6E"/>
    <w:rsid w:val="00260D75"/>
    <w:rsid w:val="002662AF"/>
    <w:rsid w:val="0028457E"/>
    <w:rsid w:val="00284DF8"/>
    <w:rsid w:val="002872FE"/>
    <w:rsid w:val="002B6527"/>
    <w:rsid w:val="002C5471"/>
    <w:rsid w:val="002E0FAF"/>
    <w:rsid w:val="002F4567"/>
    <w:rsid w:val="002F6036"/>
    <w:rsid w:val="00374D83"/>
    <w:rsid w:val="003A4B2D"/>
    <w:rsid w:val="003D2403"/>
    <w:rsid w:val="003F5348"/>
    <w:rsid w:val="0042051B"/>
    <w:rsid w:val="00424F3F"/>
    <w:rsid w:val="00437E9B"/>
    <w:rsid w:val="00441E6A"/>
    <w:rsid w:val="00444B31"/>
    <w:rsid w:val="0044647A"/>
    <w:rsid w:val="00451F3A"/>
    <w:rsid w:val="00467665"/>
    <w:rsid w:val="0048327A"/>
    <w:rsid w:val="004A1B03"/>
    <w:rsid w:val="004C3215"/>
    <w:rsid w:val="004D7D13"/>
    <w:rsid w:val="004E686C"/>
    <w:rsid w:val="004F2CFC"/>
    <w:rsid w:val="004F4A18"/>
    <w:rsid w:val="004F5EE7"/>
    <w:rsid w:val="00506620"/>
    <w:rsid w:val="00521712"/>
    <w:rsid w:val="00527718"/>
    <w:rsid w:val="0056258D"/>
    <w:rsid w:val="00565B3F"/>
    <w:rsid w:val="00571496"/>
    <w:rsid w:val="005716B6"/>
    <w:rsid w:val="00587E95"/>
    <w:rsid w:val="0059011C"/>
    <w:rsid w:val="005A5B2D"/>
    <w:rsid w:val="005B7C14"/>
    <w:rsid w:val="005C088A"/>
    <w:rsid w:val="005D745D"/>
    <w:rsid w:val="005E531D"/>
    <w:rsid w:val="006025B4"/>
    <w:rsid w:val="00603337"/>
    <w:rsid w:val="0061525B"/>
    <w:rsid w:val="00632D30"/>
    <w:rsid w:val="006A077A"/>
    <w:rsid w:val="006A112D"/>
    <w:rsid w:val="006B60C1"/>
    <w:rsid w:val="006D1F91"/>
    <w:rsid w:val="0070252D"/>
    <w:rsid w:val="00720E4E"/>
    <w:rsid w:val="007251E9"/>
    <w:rsid w:val="007334C1"/>
    <w:rsid w:val="007460E3"/>
    <w:rsid w:val="00757FC9"/>
    <w:rsid w:val="0077701A"/>
    <w:rsid w:val="00787061"/>
    <w:rsid w:val="007914D6"/>
    <w:rsid w:val="00791D42"/>
    <w:rsid w:val="007B0038"/>
    <w:rsid w:val="007B18E3"/>
    <w:rsid w:val="007E73DD"/>
    <w:rsid w:val="00807086"/>
    <w:rsid w:val="0081221C"/>
    <w:rsid w:val="00820888"/>
    <w:rsid w:val="00823217"/>
    <w:rsid w:val="00865233"/>
    <w:rsid w:val="00892741"/>
    <w:rsid w:val="008F055D"/>
    <w:rsid w:val="00904BD1"/>
    <w:rsid w:val="009130C5"/>
    <w:rsid w:val="00941869"/>
    <w:rsid w:val="00946449"/>
    <w:rsid w:val="00974710"/>
    <w:rsid w:val="00977910"/>
    <w:rsid w:val="009A63F5"/>
    <w:rsid w:val="009B1FC0"/>
    <w:rsid w:val="009C3CC6"/>
    <w:rsid w:val="009E2B69"/>
    <w:rsid w:val="009F029B"/>
    <w:rsid w:val="009F3672"/>
    <w:rsid w:val="009F5881"/>
    <w:rsid w:val="00A11EE3"/>
    <w:rsid w:val="00A21AFC"/>
    <w:rsid w:val="00A2511F"/>
    <w:rsid w:val="00A47B53"/>
    <w:rsid w:val="00A5184B"/>
    <w:rsid w:val="00A82C30"/>
    <w:rsid w:val="00A9431F"/>
    <w:rsid w:val="00A94C08"/>
    <w:rsid w:val="00A96A1C"/>
    <w:rsid w:val="00A97B86"/>
    <w:rsid w:val="00AA41D9"/>
    <w:rsid w:val="00AC5055"/>
    <w:rsid w:val="00AD435F"/>
    <w:rsid w:val="00B33F74"/>
    <w:rsid w:val="00B62788"/>
    <w:rsid w:val="00B73F6E"/>
    <w:rsid w:val="00B857FF"/>
    <w:rsid w:val="00BA1735"/>
    <w:rsid w:val="00BA6136"/>
    <w:rsid w:val="00BF6EE0"/>
    <w:rsid w:val="00C01520"/>
    <w:rsid w:val="00C02302"/>
    <w:rsid w:val="00C06CEA"/>
    <w:rsid w:val="00C0733E"/>
    <w:rsid w:val="00C21319"/>
    <w:rsid w:val="00C3661C"/>
    <w:rsid w:val="00C411F0"/>
    <w:rsid w:val="00C45F09"/>
    <w:rsid w:val="00C57F84"/>
    <w:rsid w:val="00C67B5A"/>
    <w:rsid w:val="00CA4D1D"/>
    <w:rsid w:val="00CF665D"/>
    <w:rsid w:val="00D10EC5"/>
    <w:rsid w:val="00D2403D"/>
    <w:rsid w:val="00D258CA"/>
    <w:rsid w:val="00D30DF4"/>
    <w:rsid w:val="00D31242"/>
    <w:rsid w:val="00D37D37"/>
    <w:rsid w:val="00D65AAB"/>
    <w:rsid w:val="00DB6660"/>
    <w:rsid w:val="00DE1C90"/>
    <w:rsid w:val="00DF346B"/>
    <w:rsid w:val="00DF4372"/>
    <w:rsid w:val="00E118A8"/>
    <w:rsid w:val="00E34055"/>
    <w:rsid w:val="00E35839"/>
    <w:rsid w:val="00E42C6C"/>
    <w:rsid w:val="00E56AED"/>
    <w:rsid w:val="00E57306"/>
    <w:rsid w:val="00E748B2"/>
    <w:rsid w:val="00E8050E"/>
    <w:rsid w:val="00EA32A5"/>
    <w:rsid w:val="00EB086E"/>
    <w:rsid w:val="00EB2DCC"/>
    <w:rsid w:val="00EF4A1F"/>
    <w:rsid w:val="00F13106"/>
    <w:rsid w:val="00F159A7"/>
    <w:rsid w:val="00F16396"/>
    <w:rsid w:val="00F33864"/>
    <w:rsid w:val="00F61CE6"/>
    <w:rsid w:val="00F66AAD"/>
    <w:rsid w:val="00F8418A"/>
    <w:rsid w:val="00F91BE0"/>
    <w:rsid w:val="00FD3DAA"/>
    <w:rsid w:val="00FD77BB"/>
    <w:rsid w:val="00FD7EEB"/>
    <w:rsid w:val="00FF6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c8c8c8,#ddd,#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F029B"/>
    <w:rPr>
      <w:rFonts w:ascii="Arial" w:hAnsi="Arial"/>
      <w:szCs w:val="24"/>
      <w:lang w:eastAsia="en-US"/>
    </w:rPr>
  </w:style>
  <w:style w:type="paragraph" w:styleId="Heading1">
    <w:name w:val="heading 1"/>
    <w:basedOn w:val="Normal"/>
    <w:next w:val="textnormal"/>
    <w:qFormat/>
    <w:rsid w:val="009F029B"/>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F029B"/>
    <w:pPr>
      <w:keepNext/>
      <w:spacing w:after="120" w:line="280" w:lineRule="exact"/>
      <w:outlineLvl w:val="1"/>
    </w:pPr>
    <w:rPr>
      <w:b/>
      <w:bCs/>
      <w:iCs/>
      <w:sz w:val="22"/>
      <w:szCs w:val="28"/>
    </w:rPr>
  </w:style>
  <w:style w:type="paragraph" w:styleId="Heading3">
    <w:name w:val="heading 3"/>
    <w:basedOn w:val="Normal"/>
    <w:next w:val="textnormal"/>
    <w:qFormat/>
    <w:rsid w:val="009F029B"/>
    <w:pPr>
      <w:keepNext/>
      <w:spacing w:before="120" w:after="120" w:line="280" w:lineRule="exact"/>
      <w:outlineLvl w:val="2"/>
    </w:pPr>
    <w:rPr>
      <w:b/>
      <w:bCs/>
      <w:szCs w:val="26"/>
    </w:rPr>
  </w:style>
  <w:style w:type="paragraph" w:styleId="Heading4">
    <w:name w:val="heading 4"/>
    <w:basedOn w:val="Normal"/>
    <w:next w:val="textnormal"/>
    <w:qFormat/>
    <w:rsid w:val="009F029B"/>
    <w:pPr>
      <w:keepNext/>
      <w:spacing w:before="120" w:after="120" w:line="280" w:lineRule="exact"/>
      <w:outlineLvl w:val="3"/>
    </w:pPr>
    <w:rPr>
      <w:b/>
      <w:i/>
    </w:rPr>
  </w:style>
  <w:style w:type="paragraph" w:styleId="Heading5">
    <w:name w:val="heading 5"/>
    <w:basedOn w:val="Normal"/>
    <w:next w:val="textnormal"/>
    <w:qFormat/>
    <w:rsid w:val="009F029B"/>
    <w:pPr>
      <w:keepNext/>
      <w:spacing w:before="120" w:after="120" w:line="280" w:lineRule="exact"/>
      <w:outlineLvl w:val="4"/>
    </w:pPr>
    <w:rPr>
      <w:i/>
    </w:rPr>
  </w:style>
  <w:style w:type="paragraph" w:styleId="Heading6">
    <w:name w:val="heading 6"/>
    <w:basedOn w:val="textnormal"/>
    <w:next w:val="textnormal"/>
    <w:qFormat/>
    <w:rsid w:val="009F029B"/>
    <w:pPr>
      <w:keepNext/>
      <w:outlineLvl w:val="5"/>
    </w:pPr>
    <w:rPr>
      <w:bCs/>
    </w:rPr>
  </w:style>
  <w:style w:type="paragraph" w:styleId="Heading7">
    <w:name w:val="heading 7"/>
    <w:basedOn w:val="textnormal"/>
    <w:next w:val="textnormal"/>
    <w:qFormat/>
    <w:rsid w:val="009F029B"/>
    <w:pPr>
      <w:keepNext/>
      <w:outlineLvl w:val="6"/>
    </w:pPr>
    <w:rPr>
      <w:rFonts w:cs="Arial"/>
      <w:bCs/>
    </w:rPr>
  </w:style>
  <w:style w:type="paragraph" w:styleId="Heading8">
    <w:name w:val="heading 8"/>
    <w:basedOn w:val="textnormal"/>
    <w:next w:val="textnormal"/>
    <w:qFormat/>
    <w:rsid w:val="009F029B"/>
    <w:pPr>
      <w:keepNext/>
      <w:outlineLvl w:val="7"/>
    </w:pPr>
    <w:rPr>
      <w:rFonts w:cs="Arial"/>
      <w:bCs/>
    </w:rPr>
  </w:style>
  <w:style w:type="paragraph" w:styleId="Heading9">
    <w:name w:val="heading 9"/>
    <w:basedOn w:val="textnormal"/>
    <w:next w:val="textnormal"/>
    <w:qFormat/>
    <w:rsid w:val="009F029B"/>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F029B"/>
    <w:pPr>
      <w:spacing w:after="120" w:line="280" w:lineRule="exact"/>
    </w:pPr>
  </w:style>
  <w:style w:type="paragraph" w:styleId="Footer">
    <w:name w:val="footer"/>
    <w:basedOn w:val="Normal"/>
    <w:rsid w:val="009F029B"/>
    <w:pPr>
      <w:tabs>
        <w:tab w:val="center" w:pos="4153"/>
        <w:tab w:val="right" w:pos="8306"/>
      </w:tabs>
    </w:pPr>
  </w:style>
  <w:style w:type="paragraph" w:customStyle="1" w:styleId="bullet1">
    <w:name w:val="bullet1"/>
    <w:basedOn w:val="textnormal"/>
    <w:rsid w:val="009F029B"/>
    <w:pPr>
      <w:numPr>
        <w:numId w:val="28"/>
      </w:numPr>
    </w:pPr>
  </w:style>
  <w:style w:type="paragraph" w:customStyle="1" w:styleId="bullet2">
    <w:name w:val="bullet2"/>
    <w:basedOn w:val="textnormal"/>
    <w:rsid w:val="009F029B"/>
    <w:pPr>
      <w:numPr>
        <w:ilvl w:val="1"/>
        <w:numId w:val="29"/>
      </w:numPr>
    </w:pPr>
  </w:style>
  <w:style w:type="paragraph" w:customStyle="1" w:styleId="bullet3">
    <w:name w:val="bullet3"/>
    <w:basedOn w:val="textnormal"/>
    <w:rsid w:val="009F029B"/>
    <w:pPr>
      <w:numPr>
        <w:ilvl w:val="2"/>
        <w:numId w:val="32"/>
      </w:numPr>
    </w:pPr>
  </w:style>
  <w:style w:type="paragraph" w:customStyle="1" w:styleId="listAlpha">
    <w:name w:val="list Alpha"/>
    <w:basedOn w:val="textnormal"/>
    <w:rsid w:val="009F029B"/>
    <w:pPr>
      <w:numPr>
        <w:ilvl w:val="4"/>
        <w:numId w:val="32"/>
      </w:numPr>
    </w:pPr>
  </w:style>
  <w:style w:type="paragraph" w:customStyle="1" w:styleId="listact1">
    <w:name w:val="list act 1"/>
    <w:basedOn w:val="Normal"/>
    <w:rsid w:val="009F029B"/>
    <w:pPr>
      <w:spacing w:after="120" w:line="280" w:lineRule="exact"/>
    </w:pPr>
  </w:style>
  <w:style w:type="paragraph" w:customStyle="1" w:styleId="listact2">
    <w:name w:val="list act 2"/>
    <w:basedOn w:val="Normal"/>
    <w:rsid w:val="009F029B"/>
    <w:pPr>
      <w:spacing w:after="120" w:line="280" w:lineRule="exact"/>
    </w:pPr>
  </w:style>
  <w:style w:type="paragraph" w:customStyle="1" w:styleId="listact3">
    <w:name w:val="list act 3"/>
    <w:basedOn w:val="Normal"/>
    <w:rsid w:val="009F029B"/>
    <w:pPr>
      <w:spacing w:after="120" w:line="280" w:lineRule="exact"/>
    </w:pPr>
  </w:style>
  <w:style w:type="paragraph" w:customStyle="1" w:styleId="listNum">
    <w:name w:val="list Num"/>
    <w:basedOn w:val="textnormal"/>
    <w:rsid w:val="009F029B"/>
    <w:pPr>
      <w:numPr>
        <w:ilvl w:val="3"/>
        <w:numId w:val="32"/>
      </w:numPr>
    </w:pPr>
  </w:style>
  <w:style w:type="paragraph" w:customStyle="1" w:styleId="disclaimheading">
    <w:name w:val="disclaim heading"/>
    <w:basedOn w:val="Normal"/>
    <w:next w:val="disclaimtext"/>
    <w:rsid w:val="009F029B"/>
    <w:pPr>
      <w:spacing w:before="600" w:after="80" w:line="280" w:lineRule="exact"/>
    </w:pPr>
    <w:rPr>
      <w:b/>
      <w:bCs/>
      <w:sz w:val="18"/>
      <w:szCs w:val="18"/>
    </w:rPr>
  </w:style>
  <w:style w:type="paragraph" w:customStyle="1" w:styleId="disclaimtext">
    <w:name w:val="disclaim text"/>
    <w:basedOn w:val="Normal"/>
    <w:rsid w:val="009F029B"/>
    <w:pPr>
      <w:spacing w:after="120" w:line="280" w:lineRule="exact"/>
    </w:pPr>
    <w:rPr>
      <w:color w:val="000000"/>
      <w:sz w:val="18"/>
      <w:szCs w:val="18"/>
    </w:rPr>
  </w:style>
  <w:style w:type="paragraph" w:customStyle="1" w:styleId="docpg1title">
    <w:name w:val="doc pg1 title"/>
    <w:basedOn w:val="Normal"/>
    <w:next w:val="docpurpose"/>
    <w:rsid w:val="009F029B"/>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F029B"/>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F029B"/>
    <w:pPr>
      <w:spacing w:before="500" w:line="280" w:lineRule="exact"/>
      <w:jc w:val="right"/>
    </w:pPr>
    <w:rPr>
      <w:rFonts w:cs="Arial"/>
      <w:b/>
      <w:sz w:val="22"/>
      <w:szCs w:val="20"/>
    </w:rPr>
  </w:style>
  <w:style w:type="paragraph" w:customStyle="1" w:styleId="docpurpose">
    <w:name w:val="doc purpose"/>
    <w:basedOn w:val="Normal"/>
    <w:next w:val="textnormal"/>
    <w:rsid w:val="009F029B"/>
    <w:pPr>
      <w:spacing w:after="600" w:line="280" w:lineRule="exact"/>
    </w:pPr>
    <w:rPr>
      <w:rFonts w:cs="Arial"/>
      <w:i/>
      <w:iCs/>
      <w:sz w:val="18"/>
    </w:rPr>
  </w:style>
  <w:style w:type="paragraph" w:customStyle="1" w:styleId="docsubject">
    <w:name w:val="doc subject"/>
    <w:basedOn w:val="Normal"/>
    <w:next w:val="textnormal"/>
    <w:rsid w:val="009F029B"/>
    <w:pPr>
      <w:jc w:val="right"/>
    </w:pPr>
    <w:rPr>
      <w:rFonts w:cs="Arial"/>
      <w:b/>
      <w:bCs/>
      <w:sz w:val="24"/>
    </w:rPr>
  </w:style>
  <w:style w:type="paragraph" w:customStyle="1" w:styleId="doctitlepage">
    <w:name w:val="doc title page"/>
    <w:basedOn w:val="Normal"/>
    <w:next w:val="textnormal"/>
    <w:rsid w:val="009F029B"/>
    <w:pPr>
      <w:spacing w:after="120"/>
      <w:jc w:val="center"/>
    </w:pPr>
    <w:rPr>
      <w:b/>
      <w:sz w:val="56"/>
    </w:rPr>
  </w:style>
  <w:style w:type="paragraph" w:customStyle="1" w:styleId="doctypecorp">
    <w:name w:val="doc type corp"/>
    <w:basedOn w:val="Normal"/>
    <w:next w:val="textnormal"/>
    <w:rsid w:val="009F029B"/>
    <w:pPr>
      <w:spacing w:before="960" w:after="100"/>
      <w:jc w:val="right"/>
    </w:pPr>
    <w:rPr>
      <w:b/>
      <w:color w:val="FFFFFF"/>
      <w:sz w:val="52"/>
    </w:rPr>
  </w:style>
  <w:style w:type="paragraph" w:customStyle="1" w:styleId="doctypeeco">
    <w:name w:val="doc type eco"/>
    <w:basedOn w:val="doctypecorp"/>
    <w:next w:val="textnormal"/>
    <w:rsid w:val="009F029B"/>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footerline8pt">
    <w:name w:val="footer line 8pt"/>
    <w:basedOn w:val="Normal"/>
    <w:next w:val="textnormal"/>
    <w:rsid w:val="009F029B"/>
    <w:pPr>
      <w:pBdr>
        <w:bottom w:val="single" w:sz="2" w:space="1" w:color="auto"/>
      </w:pBdr>
    </w:pPr>
    <w:rPr>
      <w:sz w:val="16"/>
      <w:szCs w:val="20"/>
    </w:rPr>
  </w:style>
  <w:style w:type="paragraph" w:customStyle="1" w:styleId="footerpg1Ln1">
    <w:name w:val="footer pg1 Ln1"/>
    <w:basedOn w:val="Normal"/>
    <w:next w:val="footerpg1Ln2"/>
    <w:rsid w:val="009F029B"/>
    <w:pPr>
      <w:tabs>
        <w:tab w:val="right" w:pos="9921"/>
      </w:tabs>
      <w:spacing w:before="60" w:after="60"/>
    </w:pPr>
    <w:rPr>
      <w:sz w:val="16"/>
    </w:rPr>
  </w:style>
  <w:style w:type="paragraph" w:customStyle="1" w:styleId="footerpg1Ln2">
    <w:name w:val="footer pg1 Ln2"/>
    <w:basedOn w:val="Normal"/>
    <w:next w:val="textnormal"/>
    <w:rsid w:val="009F029B"/>
    <w:rPr>
      <w:b/>
      <w:bCs/>
      <w:sz w:val="16"/>
    </w:rPr>
  </w:style>
  <w:style w:type="paragraph" w:customStyle="1" w:styleId="footerpg2">
    <w:name w:val="footer pg2"/>
    <w:basedOn w:val="Normal"/>
    <w:next w:val="textnormal"/>
    <w:rsid w:val="009F029B"/>
    <w:pPr>
      <w:tabs>
        <w:tab w:val="right" w:pos="9923"/>
      </w:tabs>
      <w:spacing w:before="60"/>
    </w:pPr>
    <w:rPr>
      <w:sz w:val="16"/>
      <w:szCs w:val="20"/>
    </w:rPr>
  </w:style>
  <w:style w:type="paragraph" w:customStyle="1" w:styleId="footertext">
    <w:name w:val="footer text"/>
    <w:basedOn w:val="Normal"/>
    <w:rsid w:val="009F029B"/>
    <w:pPr>
      <w:spacing w:before="60"/>
    </w:pPr>
    <w:rPr>
      <w:rFonts w:cs="Arial"/>
      <w:b/>
      <w:bCs/>
      <w:sz w:val="16"/>
      <w:szCs w:val="20"/>
    </w:rPr>
  </w:style>
  <w:style w:type="paragraph" w:customStyle="1" w:styleId="Heading1num">
    <w:name w:val="Heading 1 num"/>
    <w:basedOn w:val="Heading1"/>
    <w:next w:val="textnormal"/>
    <w:rsid w:val="009F029B"/>
  </w:style>
  <w:style w:type="paragraph" w:customStyle="1" w:styleId="Heading2num">
    <w:name w:val="Heading 2 num"/>
    <w:basedOn w:val="Heading2"/>
    <w:next w:val="textnormal"/>
    <w:rsid w:val="009F029B"/>
    <w:pPr>
      <w:spacing w:before="240"/>
    </w:pPr>
  </w:style>
  <w:style w:type="paragraph" w:customStyle="1" w:styleId="tableheading">
    <w:name w:val="table heading"/>
    <w:basedOn w:val="Normal"/>
    <w:rsid w:val="009F029B"/>
    <w:pPr>
      <w:spacing w:before="40" w:after="40"/>
    </w:pPr>
    <w:rPr>
      <w:rFonts w:cs="Arial"/>
      <w:caps/>
      <w:sz w:val="12"/>
    </w:rPr>
  </w:style>
  <w:style w:type="paragraph" w:customStyle="1" w:styleId="textbold">
    <w:name w:val="text bold"/>
    <w:basedOn w:val="Normal"/>
    <w:next w:val="textnormal"/>
    <w:rsid w:val="009F029B"/>
    <w:pPr>
      <w:spacing w:before="120" w:after="120" w:line="280" w:lineRule="exact"/>
    </w:pPr>
    <w:rPr>
      <w:b/>
    </w:rPr>
  </w:style>
  <w:style w:type="paragraph" w:customStyle="1" w:styleId="textindent">
    <w:name w:val="text indent"/>
    <w:basedOn w:val="Normal"/>
    <w:rsid w:val="009F029B"/>
    <w:pPr>
      <w:spacing w:after="120" w:line="280" w:lineRule="exact"/>
      <w:ind w:left="510"/>
    </w:pPr>
    <w:rPr>
      <w:rFonts w:cs="Arial"/>
    </w:rPr>
  </w:style>
  <w:style w:type="paragraph" w:customStyle="1" w:styleId="textitalic">
    <w:name w:val="text italic"/>
    <w:basedOn w:val="Normal"/>
    <w:next w:val="textnormal"/>
    <w:rsid w:val="009F029B"/>
    <w:pPr>
      <w:spacing w:after="120" w:line="280" w:lineRule="exact"/>
    </w:pPr>
    <w:rPr>
      <w:i/>
    </w:rPr>
  </w:style>
  <w:style w:type="paragraph" w:customStyle="1" w:styleId="textreference">
    <w:name w:val="text reference"/>
    <w:basedOn w:val="Normal"/>
    <w:next w:val="textnormal"/>
    <w:rsid w:val="009F029B"/>
    <w:pPr>
      <w:spacing w:after="120" w:line="280" w:lineRule="exact"/>
    </w:pPr>
    <w:rPr>
      <w:i/>
      <w:iCs/>
      <w:sz w:val="18"/>
    </w:rPr>
  </w:style>
  <w:style w:type="paragraph" w:customStyle="1" w:styleId="textsmall8pt">
    <w:name w:val="text small 8pt"/>
    <w:basedOn w:val="Normal"/>
    <w:next w:val="textnormal"/>
    <w:rsid w:val="009F029B"/>
    <w:pPr>
      <w:spacing w:after="120" w:line="280" w:lineRule="exact"/>
    </w:pPr>
    <w:rPr>
      <w:rFonts w:cs="Arial"/>
      <w:sz w:val="16"/>
    </w:rPr>
  </w:style>
  <w:style w:type="paragraph" w:customStyle="1" w:styleId="texttickboxfull">
    <w:name w:val="text tickbox full"/>
    <w:basedOn w:val="Normal"/>
    <w:rsid w:val="009F029B"/>
    <w:pPr>
      <w:spacing w:after="120" w:line="280" w:lineRule="atLeast"/>
      <w:ind w:left="681" w:hanging="397"/>
    </w:pPr>
  </w:style>
  <w:style w:type="paragraph" w:customStyle="1" w:styleId="texttickboxlimited">
    <w:name w:val="text tickbox limited"/>
    <w:basedOn w:val="Normal"/>
    <w:rsid w:val="009F029B"/>
    <w:pPr>
      <w:spacing w:after="120" w:line="280" w:lineRule="exact"/>
      <w:jc w:val="center"/>
    </w:pPr>
    <w:rPr>
      <w:sz w:val="16"/>
    </w:rPr>
  </w:style>
  <w:style w:type="paragraph" w:styleId="TOC1">
    <w:name w:val="toc 1"/>
    <w:basedOn w:val="Normal"/>
    <w:next w:val="Normal"/>
    <w:semiHidden/>
    <w:rsid w:val="009F029B"/>
    <w:pPr>
      <w:spacing w:after="40" w:line="280" w:lineRule="exact"/>
    </w:pPr>
    <w:rPr>
      <w:b/>
      <w:sz w:val="22"/>
    </w:rPr>
  </w:style>
  <w:style w:type="paragraph" w:styleId="TOC2">
    <w:name w:val="toc 2"/>
    <w:basedOn w:val="TOC1"/>
    <w:next w:val="Normal"/>
    <w:semiHidden/>
    <w:rsid w:val="009F029B"/>
    <w:pPr>
      <w:ind w:left="200"/>
    </w:pPr>
    <w:rPr>
      <w:b w:val="0"/>
    </w:rPr>
  </w:style>
  <w:style w:type="paragraph" w:styleId="TOC3">
    <w:name w:val="toc 3"/>
    <w:basedOn w:val="TOC1"/>
    <w:next w:val="Normal"/>
    <w:semiHidden/>
    <w:rsid w:val="009F029B"/>
    <w:pPr>
      <w:ind w:left="400"/>
    </w:pPr>
    <w:rPr>
      <w:sz w:val="20"/>
    </w:rPr>
  </w:style>
  <w:style w:type="paragraph" w:styleId="TOC4">
    <w:name w:val="toc 4"/>
    <w:basedOn w:val="TOC1"/>
    <w:next w:val="Normal"/>
    <w:semiHidden/>
    <w:rsid w:val="009F029B"/>
    <w:pPr>
      <w:ind w:left="600"/>
    </w:pPr>
    <w:rPr>
      <w:b w:val="0"/>
      <w:sz w:val="20"/>
    </w:rPr>
  </w:style>
  <w:style w:type="paragraph" w:styleId="TOC5">
    <w:name w:val="toc 5"/>
    <w:basedOn w:val="TOC1"/>
    <w:next w:val="Normal"/>
    <w:semiHidden/>
    <w:rsid w:val="009F029B"/>
    <w:pPr>
      <w:ind w:left="800"/>
    </w:pPr>
    <w:rPr>
      <w:b w:val="0"/>
      <w:sz w:val="18"/>
    </w:rPr>
  </w:style>
  <w:style w:type="paragraph" w:styleId="TOC6">
    <w:name w:val="toc 6"/>
    <w:basedOn w:val="textnormal"/>
    <w:next w:val="Normal"/>
    <w:semiHidden/>
    <w:rsid w:val="009F029B"/>
    <w:pPr>
      <w:ind w:left="1000"/>
    </w:pPr>
  </w:style>
  <w:style w:type="paragraph" w:styleId="TOC7">
    <w:name w:val="toc 7"/>
    <w:basedOn w:val="textnormal"/>
    <w:next w:val="Normal"/>
    <w:semiHidden/>
    <w:rsid w:val="009F029B"/>
    <w:pPr>
      <w:ind w:left="1200"/>
    </w:pPr>
  </w:style>
  <w:style w:type="paragraph" w:styleId="TOC8">
    <w:name w:val="toc 8"/>
    <w:basedOn w:val="textnormal"/>
    <w:next w:val="Normal"/>
    <w:semiHidden/>
    <w:rsid w:val="009F029B"/>
    <w:pPr>
      <w:ind w:left="1400"/>
    </w:pPr>
  </w:style>
  <w:style w:type="paragraph" w:styleId="TOC9">
    <w:name w:val="toc 9"/>
    <w:basedOn w:val="textnormal"/>
    <w:next w:val="Normal"/>
    <w:semiHidden/>
    <w:rsid w:val="009F029B"/>
    <w:pPr>
      <w:ind w:left="1600"/>
    </w:pPr>
  </w:style>
  <w:style w:type="paragraph" w:styleId="TOCHeading">
    <w:name w:val="TOC Heading"/>
    <w:basedOn w:val="Heading1"/>
    <w:next w:val="textnormal"/>
    <w:qFormat/>
    <w:rsid w:val="009F029B"/>
  </w:style>
  <w:style w:type="paragraph" w:customStyle="1" w:styleId="docpg1titlelandscape">
    <w:name w:val="doc pg1 title landscape"/>
    <w:basedOn w:val="Normal"/>
    <w:next w:val="Normal"/>
    <w:rsid w:val="009F029B"/>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F029B"/>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F029B"/>
    <w:pPr>
      <w:pBdr>
        <w:bottom w:val="single" w:sz="2" w:space="1" w:color="auto"/>
      </w:pBdr>
      <w:spacing w:after="120" w:line="200" w:lineRule="exact"/>
    </w:pPr>
    <w:rPr>
      <w:sz w:val="16"/>
      <w:szCs w:val="20"/>
    </w:rPr>
  </w:style>
  <w:style w:type="paragraph" w:styleId="Header">
    <w:name w:val="header"/>
    <w:basedOn w:val="Normal"/>
    <w:rsid w:val="009F029B"/>
    <w:pPr>
      <w:tabs>
        <w:tab w:val="center" w:pos="4153"/>
        <w:tab w:val="right" w:pos="8306"/>
      </w:tabs>
    </w:pPr>
  </w:style>
  <w:style w:type="character" w:styleId="Hyperlink">
    <w:name w:val="Hyperlink"/>
    <w:uiPriority w:val="99"/>
    <w:rsid w:val="009F029B"/>
    <w:rPr>
      <w:color w:val="0000FF"/>
      <w:u w:val="single"/>
    </w:rPr>
  </w:style>
  <w:style w:type="paragraph" w:customStyle="1" w:styleId="listAct10">
    <w:name w:val="list Act 1"/>
    <w:basedOn w:val="textnormal"/>
    <w:rsid w:val="009F029B"/>
  </w:style>
  <w:style w:type="paragraph" w:customStyle="1" w:styleId="listAct20">
    <w:name w:val="list Act 2"/>
    <w:rsid w:val="009F029B"/>
    <w:pPr>
      <w:spacing w:after="120" w:line="280" w:lineRule="exact"/>
    </w:pPr>
    <w:rPr>
      <w:rFonts w:ascii="Arial" w:hAnsi="Arial"/>
      <w:lang w:eastAsia="en-US"/>
    </w:rPr>
  </w:style>
  <w:style w:type="paragraph" w:customStyle="1" w:styleId="listAct30">
    <w:name w:val="list Act 3"/>
    <w:basedOn w:val="textnormal"/>
    <w:rsid w:val="009F029B"/>
  </w:style>
  <w:style w:type="paragraph" w:styleId="ListNumber4">
    <w:name w:val="List Number 4"/>
    <w:basedOn w:val="Normal"/>
    <w:rsid w:val="009F029B"/>
    <w:pPr>
      <w:numPr>
        <w:numId w:val="33"/>
      </w:numPr>
    </w:pPr>
  </w:style>
  <w:style w:type="paragraph" w:customStyle="1" w:styleId="versopage">
    <w:name w:val="verso page"/>
    <w:basedOn w:val="BodyText"/>
    <w:rsid w:val="0023677B"/>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9F3672"/>
    <w:rPr>
      <w:sz w:val="18"/>
      <w:szCs w:val="20"/>
    </w:rPr>
  </w:style>
  <w:style w:type="character" w:customStyle="1" w:styleId="FootnoteTextChar">
    <w:name w:val="Footnote Text Char"/>
    <w:link w:val="FootnoteText"/>
    <w:rsid w:val="009F3672"/>
    <w:rPr>
      <w:rFonts w:ascii="Arial" w:hAnsi="Arial"/>
      <w:sz w:val="18"/>
      <w:lang w:eastAsia="en-US"/>
    </w:rPr>
  </w:style>
  <w:style w:type="character" w:styleId="FootnoteReference">
    <w:name w:val="footnote reference"/>
    <w:rsid w:val="0023677B"/>
    <w:rPr>
      <w:vertAlign w:val="superscript"/>
    </w:rPr>
  </w:style>
  <w:style w:type="paragraph" w:styleId="BodyText">
    <w:name w:val="Body Text"/>
    <w:basedOn w:val="Normal"/>
    <w:link w:val="BodyTextChar"/>
    <w:rsid w:val="0023677B"/>
    <w:pPr>
      <w:spacing w:after="120"/>
    </w:pPr>
  </w:style>
  <w:style w:type="character" w:customStyle="1" w:styleId="BodyTextChar">
    <w:name w:val="Body Text Char"/>
    <w:link w:val="BodyText"/>
    <w:rsid w:val="0023677B"/>
    <w:rPr>
      <w:rFonts w:ascii="Arial" w:hAnsi="Arial"/>
      <w:szCs w:val="24"/>
      <w:lang w:eastAsia="en-US"/>
    </w:rPr>
  </w:style>
  <w:style w:type="paragraph" w:styleId="BalloonText">
    <w:name w:val="Balloon Text"/>
    <w:basedOn w:val="Normal"/>
    <w:link w:val="BalloonTextChar"/>
    <w:rsid w:val="0023677B"/>
    <w:rPr>
      <w:rFonts w:ascii="Tahoma" w:hAnsi="Tahoma" w:cs="Tahoma"/>
      <w:sz w:val="16"/>
      <w:szCs w:val="16"/>
    </w:rPr>
  </w:style>
  <w:style w:type="character" w:customStyle="1" w:styleId="BalloonTextChar">
    <w:name w:val="Balloon Text Char"/>
    <w:link w:val="BalloonText"/>
    <w:rsid w:val="0023677B"/>
    <w:rPr>
      <w:rFonts w:ascii="Tahoma" w:hAnsi="Tahoma" w:cs="Tahoma"/>
      <w:sz w:val="16"/>
      <w:szCs w:val="16"/>
      <w:lang w:eastAsia="en-US"/>
    </w:rPr>
  </w:style>
  <w:style w:type="character" w:styleId="CommentReference">
    <w:name w:val="annotation reference"/>
    <w:rsid w:val="00D2403D"/>
    <w:rPr>
      <w:sz w:val="16"/>
      <w:szCs w:val="16"/>
    </w:rPr>
  </w:style>
  <w:style w:type="paragraph" w:styleId="CommentText">
    <w:name w:val="annotation text"/>
    <w:basedOn w:val="Normal"/>
    <w:link w:val="CommentTextChar"/>
    <w:rsid w:val="00D2403D"/>
    <w:rPr>
      <w:szCs w:val="20"/>
    </w:rPr>
  </w:style>
  <w:style w:type="character" w:customStyle="1" w:styleId="CommentTextChar">
    <w:name w:val="Comment Text Char"/>
    <w:link w:val="CommentText"/>
    <w:rsid w:val="00D2403D"/>
    <w:rPr>
      <w:rFonts w:ascii="Arial" w:hAnsi="Arial"/>
      <w:lang w:eastAsia="en-US"/>
    </w:rPr>
  </w:style>
  <w:style w:type="paragraph" w:styleId="CommentSubject">
    <w:name w:val="annotation subject"/>
    <w:basedOn w:val="CommentText"/>
    <w:next w:val="CommentText"/>
    <w:link w:val="CommentSubjectChar"/>
    <w:rsid w:val="00D2403D"/>
    <w:rPr>
      <w:b/>
      <w:bCs/>
    </w:rPr>
  </w:style>
  <w:style w:type="character" w:customStyle="1" w:styleId="CommentSubjectChar">
    <w:name w:val="Comment Subject Char"/>
    <w:link w:val="CommentSubject"/>
    <w:rsid w:val="00D2403D"/>
    <w:rPr>
      <w:rFonts w:ascii="Arial" w:hAnsi="Arial"/>
      <w:b/>
      <w:bCs/>
      <w:lang w:eastAsia="en-US"/>
    </w:rPr>
  </w:style>
  <w:style w:type="paragraph" w:styleId="ListParagraph">
    <w:name w:val="List Paragraph"/>
    <w:basedOn w:val="Normal"/>
    <w:uiPriority w:val="34"/>
    <w:qFormat/>
    <w:rsid w:val="00D65AA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B086E"/>
    <w:rPr>
      <w:rFonts w:ascii="Arial" w:hAnsi="Arial"/>
      <w:szCs w:val="24"/>
      <w:lang w:eastAsia="en-US"/>
    </w:rPr>
  </w:style>
  <w:style w:type="paragraph" w:styleId="Title">
    <w:name w:val="Title"/>
    <w:basedOn w:val="docpg1title"/>
    <w:next w:val="Normal"/>
    <w:link w:val="TitleChar"/>
    <w:qFormat/>
    <w:rsid w:val="00120A09"/>
  </w:style>
  <w:style w:type="character" w:customStyle="1" w:styleId="TitleChar">
    <w:name w:val="Title Char"/>
    <w:basedOn w:val="DefaultParagraphFont"/>
    <w:link w:val="Title"/>
    <w:rsid w:val="00120A09"/>
    <w:rPr>
      <w:rFonts w:ascii="Arial" w:hAnsi="Arial" w:cs="Arial"/>
      <w:b/>
      <w:sz w:val="28"/>
      <w:szCs w:val="24"/>
      <w:lang w:eastAsia="en-US"/>
    </w:rPr>
  </w:style>
  <w:style w:type="table" w:styleId="TableGrid">
    <w:name w:val="Table Grid"/>
    <w:basedOn w:val="TableNormal"/>
    <w:rsid w:val="00BA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34EA7"/>
    <w:rPr>
      <w:szCs w:val="20"/>
    </w:rPr>
  </w:style>
  <w:style w:type="character" w:customStyle="1" w:styleId="EndnoteTextChar">
    <w:name w:val="Endnote Text Char"/>
    <w:basedOn w:val="DefaultParagraphFont"/>
    <w:link w:val="EndnoteText"/>
    <w:rsid w:val="00234EA7"/>
    <w:rPr>
      <w:rFonts w:ascii="Arial" w:hAnsi="Arial"/>
      <w:lang w:eastAsia="en-US"/>
    </w:rPr>
  </w:style>
  <w:style w:type="character" w:styleId="EndnoteReference">
    <w:name w:val="endnote reference"/>
    <w:basedOn w:val="DefaultParagraphFont"/>
    <w:rsid w:val="00234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1453">
      <w:bodyDiv w:val="1"/>
      <w:marLeft w:val="0"/>
      <w:marRight w:val="0"/>
      <w:marTop w:val="0"/>
      <w:marBottom w:val="0"/>
      <w:divBdr>
        <w:top w:val="none" w:sz="0" w:space="0" w:color="auto"/>
        <w:left w:val="none" w:sz="0" w:space="0" w:color="auto"/>
        <w:bottom w:val="none" w:sz="0" w:space="0" w:color="auto"/>
        <w:right w:val="none" w:sz="0" w:space="0" w:color="auto"/>
      </w:divBdr>
    </w:div>
    <w:div w:id="535199013">
      <w:bodyDiv w:val="1"/>
      <w:marLeft w:val="0"/>
      <w:marRight w:val="0"/>
      <w:marTop w:val="0"/>
      <w:marBottom w:val="0"/>
      <w:divBdr>
        <w:top w:val="none" w:sz="0" w:space="0" w:color="auto"/>
        <w:left w:val="none" w:sz="0" w:space="0" w:color="auto"/>
        <w:bottom w:val="none" w:sz="0" w:space="0" w:color="auto"/>
        <w:right w:val="none" w:sz="0" w:space="0" w:color="auto"/>
      </w:divBdr>
    </w:div>
    <w:div w:id="560598522">
      <w:bodyDiv w:val="1"/>
      <w:marLeft w:val="0"/>
      <w:marRight w:val="0"/>
      <w:marTop w:val="0"/>
      <w:marBottom w:val="0"/>
      <w:divBdr>
        <w:top w:val="none" w:sz="0" w:space="0" w:color="auto"/>
        <w:left w:val="none" w:sz="0" w:space="0" w:color="auto"/>
        <w:bottom w:val="none" w:sz="0" w:space="0" w:color="auto"/>
        <w:right w:val="none" w:sz="0" w:space="0" w:color="auto"/>
      </w:divBdr>
    </w:div>
    <w:div w:id="748313928">
      <w:bodyDiv w:val="1"/>
      <w:marLeft w:val="0"/>
      <w:marRight w:val="0"/>
      <w:marTop w:val="0"/>
      <w:marBottom w:val="0"/>
      <w:divBdr>
        <w:top w:val="none" w:sz="0" w:space="0" w:color="auto"/>
        <w:left w:val="none" w:sz="0" w:space="0" w:color="auto"/>
        <w:bottom w:val="none" w:sz="0" w:space="0" w:color="auto"/>
        <w:right w:val="none" w:sz="0" w:space="0" w:color="auto"/>
      </w:divBdr>
    </w:div>
    <w:div w:id="805271219">
      <w:bodyDiv w:val="1"/>
      <w:marLeft w:val="0"/>
      <w:marRight w:val="0"/>
      <w:marTop w:val="0"/>
      <w:marBottom w:val="0"/>
      <w:divBdr>
        <w:top w:val="none" w:sz="0" w:space="0" w:color="auto"/>
        <w:left w:val="none" w:sz="0" w:space="0" w:color="auto"/>
        <w:bottom w:val="none" w:sz="0" w:space="0" w:color="auto"/>
        <w:right w:val="none" w:sz="0" w:space="0" w:color="auto"/>
      </w:divBdr>
    </w:div>
    <w:div w:id="179759817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17492632">
      <w:bodyDiv w:val="1"/>
      <w:marLeft w:val="0"/>
      <w:marRight w:val="0"/>
      <w:marTop w:val="0"/>
      <w:marBottom w:val="0"/>
      <w:divBdr>
        <w:top w:val="none" w:sz="0" w:space="0" w:color="auto"/>
        <w:left w:val="none" w:sz="0" w:space="0" w:color="auto"/>
        <w:bottom w:val="none" w:sz="0" w:space="0" w:color="auto"/>
        <w:right w:val="none" w:sz="0" w:space="0" w:color="auto"/>
      </w:divBdr>
    </w:div>
    <w:div w:id="21256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S.Consultation@ehp.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rivacy@ehp.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ABEC-16D4-48AC-9AD9-B6464CDA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Possible changes when updating documents</vt:lpstr>
    </vt:vector>
  </TitlesOfParts>
  <LinksUpToDate>false</LinksUpToDate>
  <CharactersWithSpaces>3571</CharactersWithSpaces>
  <SharedDoc>false</SharedDoc>
  <HLinks>
    <vt:vector size="6" baseType="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changes when updating documents</dc:title>
  <dc:subject>This checklist gives guidance on possible changes to consider when updating documents (especially when adding the policy register number).</dc:subject>
  <dc:creator/>
  <cp:keywords>ESR/20XX/XXXX; other relevant keywords</cp:keywords>
  <cp:lastModifiedBy/>
  <cp:revision>1</cp:revision>
  <dcterms:created xsi:type="dcterms:W3CDTF">2016-05-20T00:51:00Z</dcterms:created>
  <dcterms:modified xsi:type="dcterms:W3CDTF">2016-05-20T00:51:00Z</dcterms:modified>
</cp:coreProperties>
</file>